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125C52">
      <w:pPr>
        <w:ind w:left="708"/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3FA274F9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0F8C29FF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proofErr w:type="spellStart"/>
      <w:r w:rsidR="00475F8B" w:rsidRPr="00475F8B">
        <w:rPr>
          <w:b w:val="0"/>
          <w:bCs w:val="0"/>
        </w:rPr>
        <w:t>Merianstraße</w:t>
      </w:r>
      <w:proofErr w:type="spellEnd"/>
      <w:r w:rsidR="00475F8B" w:rsidRPr="00475F8B">
        <w:rPr>
          <w:b w:val="0"/>
          <w:bCs w:val="0"/>
        </w:rPr>
        <w:t xml:space="preserve"> 5</w:t>
      </w:r>
      <w:r w:rsidRPr="006A6145">
        <w:rPr>
          <w:b w:val="0"/>
          <w:bCs w:val="0"/>
        </w:rPr>
        <w:br/>
      </w:r>
      <w:r w:rsidR="00475F8B">
        <w:rPr>
          <w:b w:val="0"/>
          <w:bCs w:val="0"/>
        </w:rPr>
        <w:t>48488 Emsbüren</w:t>
      </w:r>
      <w:r w:rsidRPr="006A6145">
        <w:rPr>
          <w:b w:val="0"/>
          <w:bCs w:val="0"/>
        </w:rPr>
        <w:br/>
      </w:r>
      <w:r w:rsidR="00125C52">
        <w:rPr>
          <w:b w:val="0"/>
          <w:bCs w:val="0"/>
        </w:rPr>
        <w:t>Deutschland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6E88AD9" w14:textId="60D4321F" w:rsidR="0060710A" w:rsidRDefault="002F6308" w:rsidP="0060710A">
      <w:pPr>
        <w:tabs>
          <w:tab w:val="left" w:pos="1418"/>
        </w:tabs>
        <w:rPr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proofErr w:type="spellStart"/>
      <w:r w:rsidR="002C1881" w:rsidRPr="002C1881">
        <w:rPr>
          <w:sz w:val="20"/>
          <w:szCs w:val="20"/>
        </w:rPr>
        <w:t>XLayer</w:t>
      </w:r>
      <w:proofErr w:type="spellEnd"/>
      <w:r w:rsidR="002C1881" w:rsidRPr="002C1881">
        <w:rPr>
          <w:sz w:val="20"/>
          <w:szCs w:val="20"/>
        </w:rPr>
        <w:t xml:space="preserve"> </w:t>
      </w:r>
      <w:proofErr w:type="spellStart"/>
      <w:r w:rsidR="002C1881" w:rsidRPr="002C1881">
        <w:rPr>
          <w:sz w:val="20"/>
          <w:szCs w:val="20"/>
        </w:rPr>
        <w:t>MagFix</w:t>
      </w:r>
      <w:proofErr w:type="spellEnd"/>
      <w:r w:rsidR="002C1881" w:rsidRPr="002C1881">
        <w:rPr>
          <w:sz w:val="20"/>
          <w:szCs w:val="20"/>
        </w:rPr>
        <w:t xml:space="preserve"> Pro Powerbank Ultra Slim 5.000 </w:t>
      </w:r>
      <w:proofErr w:type="spellStart"/>
      <w:r w:rsidR="002C1881" w:rsidRPr="002C1881">
        <w:rPr>
          <w:sz w:val="20"/>
          <w:szCs w:val="20"/>
        </w:rPr>
        <w:t>mAh</w:t>
      </w:r>
      <w:proofErr w:type="spellEnd"/>
      <w:r w:rsidR="002C1881" w:rsidRPr="002C1881">
        <w:rPr>
          <w:sz w:val="20"/>
          <w:szCs w:val="20"/>
        </w:rPr>
        <w:t xml:space="preserve"> schwarz</w:t>
      </w:r>
    </w:p>
    <w:p w14:paraId="53192CAB" w14:textId="0A89E37B" w:rsidR="002F6308" w:rsidRPr="00994895" w:rsidRDefault="002F6308" w:rsidP="0060710A">
      <w:pPr>
        <w:tabs>
          <w:tab w:val="left" w:pos="1418"/>
        </w:tabs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5465E5DD" w:rsidR="002F6308" w:rsidRPr="00994895" w:rsidRDefault="0060710A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</w:t>
      </w:r>
      <w:r w:rsidR="002C1881">
        <w:rPr>
          <w:sz w:val="20"/>
          <w:szCs w:val="20"/>
          <w:lang w:eastAsia="de-DE"/>
        </w:rPr>
        <w:t>0998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C1881" w:rsidRPr="00CE0545">
        <w:rPr>
          <w:sz w:val="20"/>
          <w:szCs w:val="20"/>
          <w:lang w:eastAsia="de-DE"/>
        </w:rPr>
        <w:t>4260458925409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5656"/>
      </w:tblGrid>
      <w:tr w:rsidR="00CE0545" w:rsidRPr="00FE2C7B" w14:paraId="2BD98A08" w14:textId="77777777" w:rsidTr="00693D9B">
        <w:trPr>
          <w:trHeight w:val="218"/>
        </w:trPr>
        <w:tc>
          <w:tcPr>
            <w:tcW w:w="3854" w:type="dxa"/>
          </w:tcPr>
          <w:p w14:paraId="584CC57E" w14:textId="4F63EDCF" w:rsidR="00CE0545" w:rsidRPr="00FE2C7B" w:rsidRDefault="00CE0545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Richtlinie</w:t>
            </w:r>
            <w:r w:rsidR="005A0CF3">
              <w:rPr>
                <w:b/>
                <w:bCs/>
                <w:sz w:val="20"/>
                <w:szCs w:val="20"/>
                <w:lang w:val="en-US"/>
              </w:rPr>
              <w:t>n</w:t>
            </w:r>
            <w:proofErr w:type="spellEnd"/>
          </w:p>
        </w:tc>
        <w:tc>
          <w:tcPr>
            <w:tcW w:w="5656" w:type="dxa"/>
          </w:tcPr>
          <w:p w14:paraId="14416557" w14:textId="47A70081" w:rsidR="00CE0545" w:rsidRPr="00FE2C7B" w:rsidRDefault="00CE0545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E2C7B">
              <w:rPr>
                <w:b/>
                <w:bCs/>
                <w:sz w:val="20"/>
                <w:szCs w:val="20"/>
                <w:lang w:val="en-US"/>
              </w:rPr>
              <w:t>Standard</w:t>
            </w:r>
            <w:r w:rsidR="005A0CF3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</w:tr>
      <w:tr w:rsidR="00693D9B" w:rsidRPr="004B034C" w14:paraId="22996127" w14:textId="77777777" w:rsidTr="00693D9B">
        <w:trPr>
          <w:trHeight w:val="437"/>
        </w:trPr>
        <w:tc>
          <w:tcPr>
            <w:tcW w:w="3854" w:type="dxa"/>
            <w:vAlign w:val="center"/>
          </w:tcPr>
          <w:p w14:paraId="300EA8AF" w14:textId="77777777" w:rsidR="00693D9B" w:rsidRPr="00FA59F1" w:rsidRDefault="00693D9B" w:rsidP="00693D9B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</w:p>
          <w:p w14:paraId="7130EB2F" w14:textId="25D323BC" w:rsidR="00693D9B" w:rsidRPr="00FA59F1" w:rsidRDefault="00693D9B" w:rsidP="00693D9B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  <w:r w:rsidRPr="00FA59F1">
              <w:rPr>
                <w:b/>
                <w:bCs/>
                <w:sz w:val="20"/>
                <w:szCs w:val="20"/>
              </w:rPr>
              <w:t>Funkanlagenrichtlinie 2014/53/EU</w:t>
            </w:r>
          </w:p>
          <w:p w14:paraId="65614197" w14:textId="77777777" w:rsidR="00693D9B" w:rsidRPr="00FA59F1" w:rsidRDefault="00693D9B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557043ED" w14:textId="77777777" w:rsidR="002D608C" w:rsidRDefault="002D608C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  <w:p w14:paraId="36D02189" w14:textId="36221AF0" w:rsidR="00693D9B" w:rsidRDefault="00693D9B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ETSI EN 300 330</w:t>
            </w:r>
            <w:r w:rsidR="002D608C"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="002D608C"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3.2</w:t>
            </w:r>
            <w:r w:rsidR="002D608C"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09BB4728" w14:textId="67BE4EFD" w:rsidR="00693D9B" w:rsidRDefault="00693D9B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55035</w:t>
            </w:r>
            <w:r w:rsidR="002D608C" w:rsidRPr="002D608C">
              <w:rPr>
                <w:rFonts w:eastAsia="DengXian"/>
                <w:bCs/>
                <w:sz w:val="20"/>
                <w:szCs w:val="20"/>
                <w:lang w:eastAsia="zh-CN"/>
              </w:rPr>
              <w:t>:2017 + A11</w:t>
            </w:r>
            <w:r w:rsidR="002D608C"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="002D608C"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 w:rsidR="002D608C"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3CFE067F" w14:textId="2044FCA6" w:rsidR="00693D9B" w:rsidRDefault="00693D9B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IEC 62311</w:t>
            </w:r>
            <w:r w:rsidR="002D608C">
              <w:rPr>
                <w:rFonts w:eastAsia="DengXian"/>
                <w:bCs/>
                <w:sz w:val="20"/>
                <w:szCs w:val="20"/>
                <w:lang w:eastAsia="zh-CN"/>
              </w:rPr>
              <w:t>:2020 (</w:t>
            </w:r>
            <w:r w:rsidR="002D608C"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 w:rsidR="002D608C"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6F01E103" w14:textId="77777777" w:rsidR="00693D9B" w:rsidRDefault="002D608C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EN IEC 62368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noBreakHyphen/>
              <w:t>1:2020 + A11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5F1E25B4" w14:textId="55181EF9" w:rsidR="002D608C" w:rsidRPr="00F33C57" w:rsidRDefault="002D608C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</w:tc>
      </w:tr>
      <w:tr w:rsidR="00CE0545" w:rsidRPr="004B034C" w14:paraId="704F9298" w14:textId="77777777" w:rsidTr="00693D9B">
        <w:trPr>
          <w:trHeight w:val="437"/>
        </w:trPr>
        <w:tc>
          <w:tcPr>
            <w:tcW w:w="3854" w:type="dxa"/>
            <w:vAlign w:val="center"/>
          </w:tcPr>
          <w:p w14:paraId="53911D10" w14:textId="77777777" w:rsidR="00CE0545" w:rsidRPr="00FA59F1" w:rsidRDefault="00CE0545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114C595" w14:textId="77777777" w:rsidR="00CE0545" w:rsidRPr="00FA59F1" w:rsidRDefault="00CE0545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6A255EB9" w14:textId="77777777" w:rsidR="00CE0545" w:rsidRPr="00FA59F1" w:rsidRDefault="00CE0545" w:rsidP="00CE0545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  <w:r w:rsidRPr="00FA59F1">
              <w:rPr>
                <w:b/>
                <w:bCs/>
                <w:sz w:val="20"/>
                <w:szCs w:val="20"/>
              </w:rPr>
              <w:t>EMV-Richtlinie 2014/30/EU</w:t>
            </w:r>
          </w:p>
          <w:p w14:paraId="14ECA5A5" w14:textId="77777777" w:rsidR="00CE0545" w:rsidRPr="00FA59F1" w:rsidRDefault="00CE0545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559B6D7A" w14:textId="77777777" w:rsidR="00CE0545" w:rsidRPr="00FA59F1" w:rsidRDefault="00CE0545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08247BAE" w14:textId="77777777" w:rsidR="00F33C57" w:rsidRPr="00F33C57" w:rsidRDefault="00F33C57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301 489-1 V2.2.3(2019-11):</w:t>
            </w:r>
          </w:p>
          <w:p w14:paraId="7AA988F1" w14:textId="77777777" w:rsidR="00F33C57" w:rsidRPr="00F33C57" w:rsidRDefault="00F33C57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301 489-3 V2.3.2 (2023-01):</w:t>
            </w:r>
          </w:p>
          <w:p w14:paraId="54F7715F" w14:textId="77777777" w:rsidR="00F33C57" w:rsidRPr="00F33C57" w:rsidRDefault="00F33C57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55032:2015+A11:2020+A1:2020;</w:t>
            </w:r>
          </w:p>
          <w:p w14:paraId="615E0E18" w14:textId="7CB08B7E" w:rsidR="00CE0545" w:rsidRPr="004B034C" w:rsidRDefault="00F33C57" w:rsidP="00F33C5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55035:2017+A11:2020;</w:t>
            </w:r>
          </w:p>
        </w:tc>
      </w:tr>
      <w:tr w:rsidR="00CE0545" w:rsidRPr="004B034C" w14:paraId="15B322E9" w14:textId="77777777" w:rsidTr="00693D9B">
        <w:trPr>
          <w:trHeight w:val="218"/>
        </w:trPr>
        <w:tc>
          <w:tcPr>
            <w:tcW w:w="3854" w:type="dxa"/>
            <w:vAlign w:val="center"/>
          </w:tcPr>
          <w:p w14:paraId="37B7D64B" w14:textId="77777777" w:rsidR="00CE0545" w:rsidRPr="00FA59F1" w:rsidRDefault="00CE0545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22A4C581" w14:textId="77777777" w:rsidR="00CE0545" w:rsidRPr="00FA59F1" w:rsidRDefault="00CE0545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59676FE9" w14:textId="77777777" w:rsidR="0072034E" w:rsidRPr="00FA59F1" w:rsidRDefault="0072034E" w:rsidP="0072034E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FA59F1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>Batteriesicherheits</w:t>
            </w:r>
            <w:proofErr w:type="spellEnd"/>
            <w:r w:rsidRPr="00FA59F1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noBreakHyphen/>
              <w:t xml:space="preserve">Test </w:t>
            </w:r>
          </w:p>
          <w:p w14:paraId="26399991" w14:textId="77777777" w:rsidR="00CE0545" w:rsidRPr="00FA59F1" w:rsidRDefault="00CE0545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AC50FE5" w14:textId="77777777" w:rsidR="00CE0545" w:rsidRPr="00FA59F1" w:rsidRDefault="00CE0545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44FF6ADB" w14:textId="103D3601" w:rsidR="00CE0545" w:rsidRPr="004B034C" w:rsidRDefault="0072034E" w:rsidP="0066280C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82875">
              <w:rPr>
                <w:rFonts w:eastAsia="DengXian"/>
                <w:bCs/>
                <w:sz w:val="20"/>
                <w:szCs w:val="20"/>
                <w:lang w:eastAsia="zh-CN"/>
              </w:rPr>
              <w:t>EN IEC 62133-2</w:t>
            </w:r>
          </w:p>
        </w:tc>
      </w:tr>
      <w:tr w:rsidR="00CE0545" w:rsidRPr="004B034C" w14:paraId="6DDA4194" w14:textId="77777777" w:rsidTr="0066280C">
        <w:trPr>
          <w:trHeight w:val="1743"/>
        </w:trPr>
        <w:tc>
          <w:tcPr>
            <w:tcW w:w="3854" w:type="dxa"/>
            <w:vAlign w:val="center"/>
          </w:tcPr>
          <w:p w14:paraId="144F05D6" w14:textId="77777777" w:rsidR="00CE0545" w:rsidRPr="00FA59F1" w:rsidRDefault="00CE0545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369F9745" w14:textId="77777777" w:rsidR="00CE0545" w:rsidRPr="00FA59F1" w:rsidRDefault="00CE0545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90383A6" w14:textId="2C037664" w:rsidR="00693D9B" w:rsidRPr="00FA59F1" w:rsidRDefault="00693D9B" w:rsidP="00693D9B">
            <w:pPr>
              <w:rPr>
                <w:b/>
                <w:bCs/>
                <w:sz w:val="20"/>
                <w:szCs w:val="20"/>
              </w:rPr>
            </w:pPr>
            <w:r w:rsidRPr="00FA59F1">
              <w:rPr>
                <w:b/>
                <w:bCs/>
                <w:sz w:val="20"/>
                <w:szCs w:val="20"/>
              </w:rPr>
              <w:t>RoHS-</w:t>
            </w:r>
            <w:proofErr w:type="spellStart"/>
            <w:r w:rsidRPr="00FA59F1">
              <w:rPr>
                <w:b/>
                <w:bCs/>
                <w:sz w:val="20"/>
                <w:szCs w:val="20"/>
              </w:rPr>
              <w:t>Directive</w:t>
            </w:r>
            <w:proofErr w:type="spellEnd"/>
            <w:r w:rsidRPr="00FA59F1">
              <w:rPr>
                <w:b/>
                <w:bCs/>
                <w:sz w:val="20"/>
                <w:szCs w:val="20"/>
              </w:rPr>
              <w:t xml:space="preserve"> 2011/65/EU </w:t>
            </w:r>
            <w:r w:rsidR="006F1CAF">
              <w:rPr>
                <w:b/>
                <w:bCs/>
                <w:sz w:val="20"/>
                <w:szCs w:val="20"/>
              </w:rPr>
              <w:t xml:space="preserve">             </w:t>
            </w:r>
            <w:r w:rsidRPr="00FA59F1">
              <w:rPr>
                <w:b/>
                <w:bCs/>
                <w:sz w:val="20"/>
                <w:szCs w:val="20"/>
              </w:rPr>
              <w:t>und (EU) 2015/863</w:t>
            </w:r>
          </w:p>
          <w:p w14:paraId="3EAAA150" w14:textId="77777777" w:rsidR="00CE0545" w:rsidRPr="00FA59F1" w:rsidRDefault="00CE0545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508A5E41" w14:textId="6324FBA6" w:rsidR="00CE0545" w:rsidRDefault="009A6970" w:rsidP="00F145C7">
            <w:pPr>
              <w:rPr>
                <w:sz w:val="20"/>
                <w:szCs w:val="20"/>
              </w:rPr>
            </w:pPr>
            <w:r w:rsidRPr="009A6970">
              <w:rPr>
                <w:sz w:val="20"/>
                <w:szCs w:val="20"/>
              </w:rPr>
              <w:t>EN IEC 62321</w:t>
            </w:r>
            <w:r>
              <w:rPr>
                <w:sz w:val="20"/>
                <w:szCs w:val="20"/>
              </w:rPr>
              <w:t>-3-1:2013</w:t>
            </w:r>
          </w:p>
          <w:p w14:paraId="01020556" w14:textId="27523832" w:rsidR="009A6970" w:rsidRDefault="009A6970" w:rsidP="00F1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62321-4:2013+A1:2017</w:t>
            </w:r>
          </w:p>
          <w:p w14:paraId="50EB4D98" w14:textId="0F1BC3B1" w:rsidR="009A6970" w:rsidRDefault="009A6970" w:rsidP="00F1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62321-5:2013</w:t>
            </w:r>
          </w:p>
          <w:p w14:paraId="2216C5D0" w14:textId="524C74AB" w:rsidR="009A6970" w:rsidRDefault="009A6970" w:rsidP="00F1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62321-6:2015</w:t>
            </w:r>
          </w:p>
          <w:p w14:paraId="4C75F963" w14:textId="13E0D5DF" w:rsidR="009A6970" w:rsidRDefault="009A6970" w:rsidP="00F1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62321-7-1:2015</w:t>
            </w:r>
          </w:p>
          <w:p w14:paraId="590839F7" w14:textId="115D6A5E" w:rsidR="009A6970" w:rsidRDefault="009A6970" w:rsidP="00F1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62321-7-2:2017</w:t>
            </w:r>
          </w:p>
          <w:p w14:paraId="32FB4D89" w14:textId="55798D42" w:rsidR="009A6970" w:rsidRPr="009A6970" w:rsidRDefault="009A6970" w:rsidP="00F1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62321-8:2017</w:t>
            </w:r>
          </w:p>
        </w:tc>
      </w:tr>
      <w:tr w:rsidR="002D608C" w:rsidRPr="004B034C" w14:paraId="7836A42A" w14:textId="77777777" w:rsidTr="0072034E">
        <w:trPr>
          <w:trHeight w:val="548"/>
        </w:trPr>
        <w:tc>
          <w:tcPr>
            <w:tcW w:w="3854" w:type="dxa"/>
            <w:vAlign w:val="center"/>
          </w:tcPr>
          <w:p w14:paraId="16575AF3" w14:textId="7EFD38E3" w:rsidR="0072034E" w:rsidRPr="00FA59F1" w:rsidRDefault="0072034E" w:rsidP="0072034E">
            <w:pPr>
              <w:rPr>
                <w:b/>
                <w:bCs/>
                <w:sz w:val="20"/>
                <w:szCs w:val="20"/>
              </w:rPr>
            </w:pPr>
            <w:r w:rsidRPr="00FA59F1">
              <w:rPr>
                <w:b/>
                <w:bCs/>
                <w:sz w:val="20"/>
                <w:szCs w:val="20"/>
              </w:rPr>
              <w:t>Batterieverordnung (EU) 2023/1542</w:t>
            </w:r>
          </w:p>
        </w:tc>
        <w:tc>
          <w:tcPr>
            <w:tcW w:w="5656" w:type="dxa"/>
            <w:vAlign w:val="center"/>
          </w:tcPr>
          <w:p w14:paraId="3048E99B" w14:textId="2FFF180B" w:rsidR="002D608C" w:rsidRPr="004B034C" w:rsidRDefault="0072034E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6280C">
              <w:rPr>
                <w:rFonts w:eastAsia="DengXian"/>
                <w:bCs/>
                <w:i/>
                <w:iCs/>
                <w:sz w:val="20"/>
                <w:szCs w:val="20"/>
                <w:lang w:eastAsia="zh-CN"/>
              </w:rPr>
              <w:t>(Keine Normen erforderlich)</w:t>
            </w:r>
          </w:p>
        </w:tc>
      </w:tr>
    </w:tbl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79077ED5" w14:textId="77777777" w:rsid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EB79C75" w14:textId="77777777" w:rsidR="006F1CAF" w:rsidRPr="00693D9B" w:rsidRDefault="006F1CAF" w:rsidP="002F6308">
      <w:pPr>
        <w:rPr>
          <w:rFonts w:eastAsia="DengXian"/>
          <w:b/>
          <w:sz w:val="20"/>
          <w:szCs w:val="20"/>
          <w:lang w:eastAsia="zh-CN"/>
        </w:rPr>
      </w:pPr>
    </w:p>
    <w:p w14:paraId="2D2AE972" w14:textId="166C0BFF" w:rsidR="002F6308" w:rsidRPr="00693D9B" w:rsidRDefault="002F6308" w:rsidP="002F630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693D9B" w:rsidRDefault="002F6308" w:rsidP="002F6308">
      <w:pPr>
        <w:tabs>
          <w:tab w:val="left" w:pos="7300"/>
        </w:tabs>
        <w:rPr>
          <w:sz w:val="20"/>
          <w:szCs w:val="20"/>
        </w:rPr>
      </w:pPr>
    </w:p>
    <w:p w14:paraId="46FE57A0" w14:textId="30B9D507" w:rsidR="002F6308" w:rsidRPr="00693D9B" w:rsidRDefault="002F6308" w:rsidP="002F6308">
      <w:pPr>
        <w:tabs>
          <w:tab w:val="left" w:pos="730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D9B">
        <w:rPr>
          <w:sz w:val="20"/>
          <w:szCs w:val="20"/>
        </w:rPr>
        <w:tab/>
      </w:r>
    </w:p>
    <w:p w14:paraId="267473B0" w14:textId="124106D8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sz w:val="20"/>
          <w:szCs w:val="20"/>
        </w:rPr>
        <w:tab/>
      </w:r>
      <w:r w:rsidR="00125C52">
        <w:rPr>
          <w:sz w:val="20"/>
          <w:szCs w:val="20"/>
        </w:rPr>
        <w:t>Emsbüren</w:t>
      </w:r>
      <w:r>
        <w:rPr>
          <w:sz w:val="20"/>
          <w:szCs w:val="20"/>
        </w:rPr>
        <w:t>;</w:t>
      </w:r>
      <w:r w:rsidR="00125C52">
        <w:rPr>
          <w:sz w:val="20"/>
          <w:szCs w:val="20"/>
        </w:rPr>
        <w:t xml:space="preserve"> </w:t>
      </w:r>
      <w:r w:rsidR="002C1881">
        <w:rPr>
          <w:sz w:val="20"/>
          <w:szCs w:val="20"/>
        </w:rPr>
        <w:t>09</w:t>
      </w:r>
      <w:r w:rsidR="00475F8B">
        <w:rPr>
          <w:sz w:val="20"/>
          <w:szCs w:val="20"/>
        </w:rPr>
        <w:t>.</w:t>
      </w:r>
      <w:r w:rsidR="002C1881">
        <w:rPr>
          <w:sz w:val="20"/>
          <w:szCs w:val="20"/>
        </w:rPr>
        <w:t>12</w:t>
      </w:r>
      <w:r w:rsidR="00475F8B">
        <w:rPr>
          <w:sz w:val="20"/>
          <w:szCs w:val="20"/>
        </w:rPr>
        <w:t>.202</w:t>
      </w:r>
      <w:r w:rsidR="002C1881">
        <w:rPr>
          <w:sz w:val="20"/>
          <w:szCs w:val="20"/>
        </w:rPr>
        <w:t>5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412C1B70" w14:textId="1247E3DF" w:rsidR="00834A51" w:rsidRPr="00E93D72" w:rsidRDefault="002F6308" w:rsidP="00E93D72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45DDEEC6" w14:textId="77777777" w:rsidR="006016D0" w:rsidRPr="00994895" w:rsidRDefault="006016D0" w:rsidP="00F4380E">
      <w:pPr>
        <w:rPr>
          <w:bCs/>
          <w:lang w:val="en-US"/>
        </w:rPr>
      </w:pPr>
    </w:p>
    <w:p w14:paraId="65062CAC" w14:textId="77777777" w:rsidR="00164C91" w:rsidRDefault="00164C91" w:rsidP="00125C52">
      <w:pPr>
        <w:ind w:left="2124" w:firstLine="708"/>
        <w:rPr>
          <w:b/>
          <w:sz w:val="24"/>
          <w:u w:val="single"/>
          <w:lang w:val="en-US"/>
        </w:rPr>
      </w:pPr>
    </w:p>
    <w:p w14:paraId="6554F9EF" w14:textId="77777777" w:rsidR="0072034E" w:rsidRDefault="0072034E" w:rsidP="00125C52">
      <w:pPr>
        <w:ind w:left="2124" w:firstLine="708"/>
        <w:rPr>
          <w:b/>
          <w:sz w:val="24"/>
          <w:u w:val="single"/>
          <w:lang w:val="en-US"/>
        </w:rPr>
      </w:pPr>
    </w:p>
    <w:p w14:paraId="7803DF00" w14:textId="537C5EFD" w:rsidR="00A16C8F" w:rsidRPr="004B034C" w:rsidRDefault="006016D0" w:rsidP="00125C52">
      <w:pPr>
        <w:ind w:left="2124" w:firstLine="708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304E1C5A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00E78D0E" w14:textId="6E31680F" w:rsidR="00125C52" w:rsidRPr="00125C52" w:rsidRDefault="0032155D" w:rsidP="00125C52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  <w:r w:rsidR="00125C52" w:rsidRPr="00125C52">
        <w:rPr>
          <w:rFonts w:asciiTheme="majorHAnsi" w:hAnsiTheme="majorHAnsi"/>
          <w:noProof/>
          <w:color w:val="000000"/>
          <w:sz w:val="16"/>
          <w:szCs w:val="16"/>
          <w:lang w:val="en-US" w:eastAsia="de-DE"/>
        </w:rPr>
        <w:t xml:space="preserve"> </w:t>
      </w:r>
    </w:p>
    <w:p w14:paraId="456953C8" w14:textId="77777777" w:rsidR="00125C52" w:rsidRDefault="00125C52" w:rsidP="00125C52">
      <w:pPr>
        <w:pStyle w:val="berschrift1"/>
        <w:ind w:left="2832" w:hanging="2832"/>
        <w:rPr>
          <w:b w:val="0"/>
          <w:bCs w:val="0"/>
          <w:lang w:val="en-US"/>
        </w:rPr>
      </w:pPr>
      <w:r w:rsidRPr="00125C52">
        <w:rPr>
          <w:lang w:val="en-US"/>
        </w:rPr>
        <w:tab/>
      </w:r>
      <w:proofErr w:type="spellStart"/>
      <w:r w:rsidRPr="00125C52">
        <w:rPr>
          <w:b w:val="0"/>
          <w:bCs w:val="0"/>
          <w:lang w:val="en-US"/>
        </w:rPr>
        <w:t>Merianstraße</w:t>
      </w:r>
      <w:proofErr w:type="spellEnd"/>
      <w:r w:rsidRPr="00125C52">
        <w:rPr>
          <w:b w:val="0"/>
          <w:bCs w:val="0"/>
          <w:lang w:val="en-US"/>
        </w:rPr>
        <w:t xml:space="preserve"> 5</w:t>
      </w:r>
      <w:r w:rsidRPr="00125C52">
        <w:rPr>
          <w:b w:val="0"/>
          <w:bCs w:val="0"/>
          <w:lang w:val="en-US"/>
        </w:rPr>
        <w:br/>
        <w:t xml:space="preserve">48488 </w:t>
      </w:r>
      <w:proofErr w:type="spellStart"/>
      <w:r w:rsidRPr="00125C52">
        <w:rPr>
          <w:b w:val="0"/>
          <w:bCs w:val="0"/>
          <w:lang w:val="en-US"/>
        </w:rPr>
        <w:t>Emsbüren</w:t>
      </w:r>
      <w:proofErr w:type="spellEnd"/>
      <w:r w:rsidRPr="00125C52">
        <w:rPr>
          <w:b w:val="0"/>
          <w:bCs w:val="0"/>
          <w:lang w:val="en-US"/>
        </w:rPr>
        <w:br/>
        <w:t>Germany</w:t>
      </w:r>
    </w:p>
    <w:p w14:paraId="4E1B020A" w14:textId="7871EBA0" w:rsidR="00125C52" w:rsidRPr="00125C52" w:rsidRDefault="00125C52" w:rsidP="00125C52">
      <w:pPr>
        <w:pStyle w:val="berschrift1"/>
        <w:ind w:left="2832" w:hanging="2832"/>
        <w:rPr>
          <w:b w:val="0"/>
          <w:bCs w:val="0"/>
          <w:lang w:val="en-US"/>
        </w:rPr>
      </w:pPr>
      <w:r w:rsidRPr="00125C52">
        <w:rPr>
          <w:b w:val="0"/>
          <w:bCs w:val="0"/>
          <w:lang w:val="en-US"/>
        </w:rPr>
        <w:tab/>
      </w:r>
    </w:p>
    <w:p w14:paraId="2C9EE8A2" w14:textId="34B9840D" w:rsidR="00730CDD" w:rsidRDefault="00527325" w:rsidP="00125C52">
      <w:pPr>
        <w:pStyle w:val="berschrift1"/>
        <w:ind w:left="2832" w:hanging="2832"/>
        <w:jc w:val="center"/>
        <w:rPr>
          <w:b w:val="0"/>
          <w:lang w:val="en-US"/>
        </w:rPr>
      </w:pPr>
      <w:r w:rsidRPr="00527325">
        <w:rPr>
          <w:lang w:val="en-US"/>
        </w:rPr>
        <w:t>declare under our sole r</w:t>
      </w:r>
      <w:r>
        <w:rPr>
          <w:lang w:val="en-US"/>
        </w:rPr>
        <w:t>esponsibility that the following product</w:t>
      </w:r>
    </w:p>
    <w:p w14:paraId="7FA864DC" w14:textId="10D5BB7F" w:rsidR="0032155D" w:rsidRDefault="0032155D" w:rsidP="00125C52">
      <w:pPr>
        <w:jc w:val="center"/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69C6ED21" w14:textId="0BE49A23" w:rsidR="00475F8B" w:rsidRDefault="00CE7E7D" w:rsidP="00475F8B">
      <w:pPr>
        <w:tabs>
          <w:tab w:val="left" w:pos="1418"/>
        </w:tabs>
        <w:rPr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proofErr w:type="spellStart"/>
      <w:r w:rsidR="002C1881" w:rsidRPr="002C1881">
        <w:rPr>
          <w:sz w:val="20"/>
          <w:szCs w:val="20"/>
          <w:lang w:val="en-US"/>
        </w:rPr>
        <w:t>XLayer</w:t>
      </w:r>
      <w:proofErr w:type="spellEnd"/>
      <w:r w:rsidR="002C1881" w:rsidRPr="002C1881">
        <w:rPr>
          <w:sz w:val="20"/>
          <w:szCs w:val="20"/>
          <w:lang w:val="en-US"/>
        </w:rPr>
        <w:t xml:space="preserve"> </w:t>
      </w:r>
      <w:proofErr w:type="spellStart"/>
      <w:r w:rsidR="002C1881" w:rsidRPr="002C1881">
        <w:rPr>
          <w:sz w:val="20"/>
          <w:szCs w:val="20"/>
          <w:lang w:val="en-US"/>
        </w:rPr>
        <w:t>MagFix</w:t>
      </w:r>
      <w:proofErr w:type="spellEnd"/>
      <w:r w:rsidR="002C1881" w:rsidRPr="002C1881">
        <w:rPr>
          <w:sz w:val="20"/>
          <w:szCs w:val="20"/>
          <w:lang w:val="en-US"/>
        </w:rPr>
        <w:t xml:space="preserve"> Pro </w:t>
      </w:r>
      <w:proofErr w:type="spellStart"/>
      <w:r w:rsidR="002C1881" w:rsidRPr="002C1881">
        <w:rPr>
          <w:sz w:val="20"/>
          <w:szCs w:val="20"/>
          <w:lang w:val="en-US"/>
        </w:rPr>
        <w:t>Powerbank</w:t>
      </w:r>
      <w:proofErr w:type="spellEnd"/>
      <w:r w:rsidR="002C1881" w:rsidRPr="002C1881">
        <w:rPr>
          <w:sz w:val="20"/>
          <w:szCs w:val="20"/>
          <w:lang w:val="en-US"/>
        </w:rPr>
        <w:t xml:space="preserve"> Ultra Slim 5.000 </w:t>
      </w:r>
      <w:proofErr w:type="spellStart"/>
      <w:r w:rsidR="002C1881" w:rsidRPr="002C1881">
        <w:rPr>
          <w:sz w:val="20"/>
          <w:szCs w:val="20"/>
          <w:lang w:val="en-US"/>
        </w:rPr>
        <w:t>mAh</w:t>
      </w:r>
      <w:proofErr w:type="spellEnd"/>
      <w:r w:rsidR="002C1881" w:rsidRPr="002C1881">
        <w:rPr>
          <w:sz w:val="20"/>
          <w:szCs w:val="20"/>
          <w:lang w:val="en-US"/>
        </w:rPr>
        <w:t xml:space="preserve"> </w:t>
      </w:r>
      <w:r w:rsidR="002C1881">
        <w:rPr>
          <w:sz w:val="20"/>
          <w:szCs w:val="20"/>
          <w:lang w:val="en-US"/>
        </w:rPr>
        <w:t>black</w:t>
      </w:r>
    </w:p>
    <w:p w14:paraId="5B1EE3B7" w14:textId="7785F9A3" w:rsidR="000C4477" w:rsidRPr="00C34218" w:rsidRDefault="006016D0" w:rsidP="00475F8B">
      <w:pPr>
        <w:tabs>
          <w:tab w:val="left" w:pos="1418"/>
        </w:tabs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0C170CC2" w:rsidR="007E45AD" w:rsidRPr="00125C52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125C52">
        <w:rPr>
          <w:bCs/>
          <w:sz w:val="20"/>
          <w:szCs w:val="20"/>
          <w:u w:val="single"/>
          <w:lang w:val="en-US" w:eastAsia="de-DE"/>
        </w:rPr>
        <w:t>Item:</w:t>
      </w:r>
      <w:r w:rsidRPr="00125C52">
        <w:rPr>
          <w:bCs/>
          <w:sz w:val="20"/>
          <w:szCs w:val="20"/>
          <w:lang w:val="en-US" w:eastAsia="de-DE"/>
        </w:rPr>
        <w:t xml:space="preserve">   </w:t>
      </w:r>
      <w:r w:rsidR="00125C52">
        <w:rPr>
          <w:bCs/>
          <w:sz w:val="20"/>
          <w:szCs w:val="20"/>
          <w:lang w:val="en-US" w:eastAsia="de-DE"/>
        </w:rPr>
        <w:tab/>
      </w:r>
      <w:r w:rsidRPr="00125C52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Pr="00125C52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F8F46C2" w14:textId="2030FE57" w:rsidR="00475F8B" w:rsidRDefault="0060710A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  <w:r w:rsidRPr="002C1881">
        <w:rPr>
          <w:sz w:val="20"/>
          <w:szCs w:val="20"/>
          <w:lang w:val="en-US" w:eastAsia="de-DE"/>
        </w:rPr>
        <w:t>22</w:t>
      </w:r>
      <w:r w:rsidR="002C1881">
        <w:rPr>
          <w:sz w:val="20"/>
          <w:szCs w:val="20"/>
          <w:lang w:val="en-US" w:eastAsia="de-DE"/>
        </w:rPr>
        <w:t>0998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2C1881" w:rsidRPr="002C1881">
        <w:rPr>
          <w:sz w:val="20"/>
          <w:szCs w:val="20"/>
          <w:lang w:val="en-US" w:eastAsia="de-DE"/>
        </w:rPr>
        <w:t>4260458925409</w:t>
      </w:r>
    </w:p>
    <w:p w14:paraId="0D6B5652" w14:textId="77777777" w:rsidR="002C1881" w:rsidRDefault="002C1881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17E8D27D" w14:textId="04AA70FC" w:rsidR="009A085C" w:rsidRPr="002D608C" w:rsidRDefault="00527325" w:rsidP="002D608C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CD62812" w14:textId="77777777" w:rsidR="00164C91" w:rsidRPr="009A085C" w:rsidRDefault="00164C91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051B7B23" w14:textId="77777777" w:rsidR="00FE2C7B" w:rsidRPr="009A085C" w:rsidRDefault="00FE2C7B" w:rsidP="007236BE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5656"/>
      </w:tblGrid>
      <w:tr w:rsidR="002D608C" w:rsidRPr="00FE2C7B" w14:paraId="0FB37B26" w14:textId="77777777" w:rsidTr="00F145C7">
        <w:trPr>
          <w:trHeight w:val="218"/>
        </w:trPr>
        <w:tc>
          <w:tcPr>
            <w:tcW w:w="3854" w:type="dxa"/>
          </w:tcPr>
          <w:p w14:paraId="026C1A33" w14:textId="3E5AC1B5" w:rsidR="002D608C" w:rsidRPr="00FE2C7B" w:rsidRDefault="002D608C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</w:t>
            </w:r>
          </w:p>
        </w:tc>
        <w:tc>
          <w:tcPr>
            <w:tcW w:w="5656" w:type="dxa"/>
          </w:tcPr>
          <w:p w14:paraId="0835B6D3" w14:textId="512F6952" w:rsidR="002D608C" w:rsidRPr="00FE2C7B" w:rsidRDefault="002D608C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E2C7B">
              <w:rPr>
                <w:b/>
                <w:bCs/>
                <w:sz w:val="20"/>
                <w:szCs w:val="20"/>
                <w:lang w:val="en-US"/>
              </w:rPr>
              <w:t>Standard</w:t>
            </w:r>
            <w:r w:rsidR="005A0CF3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</w:tr>
      <w:tr w:rsidR="002D608C" w:rsidRPr="004B034C" w14:paraId="690C46FF" w14:textId="77777777" w:rsidTr="00F145C7">
        <w:trPr>
          <w:trHeight w:val="437"/>
        </w:trPr>
        <w:tc>
          <w:tcPr>
            <w:tcW w:w="3854" w:type="dxa"/>
            <w:vAlign w:val="center"/>
          </w:tcPr>
          <w:p w14:paraId="738817A4" w14:textId="77777777" w:rsidR="002D608C" w:rsidRPr="00FA59F1" w:rsidRDefault="002D608C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</w:p>
          <w:p w14:paraId="093F588C" w14:textId="77777777" w:rsidR="002D608C" w:rsidRPr="00FA59F1" w:rsidRDefault="002D608C" w:rsidP="002D608C">
            <w:pPr>
              <w:tabs>
                <w:tab w:val="left" w:pos="1418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FA59F1">
              <w:rPr>
                <w:b/>
                <w:bCs/>
                <w:sz w:val="20"/>
                <w:szCs w:val="20"/>
                <w:lang w:val="en-US"/>
              </w:rPr>
              <w:t>Radio Equipment Directive 2014/53/EU</w:t>
            </w:r>
          </w:p>
          <w:p w14:paraId="60F5CD45" w14:textId="77777777" w:rsidR="002D608C" w:rsidRPr="00FA59F1" w:rsidRDefault="002D608C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50D0AD47" w14:textId="77777777" w:rsidR="002D608C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  <w:p w14:paraId="70945521" w14:textId="77777777" w:rsidR="002D608C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ETSI EN 300 330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3.2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0592D91D" w14:textId="77777777" w:rsidR="002D608C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55035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:2017 + A11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6D9FE667" w14:textId="77777777" w:rsidR="002D608C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93D9B">
              <w:rPr>
                <w:rFonts w:eastAsia="DengXian"/>
                <w:bCs/>
                <w:sz w:val="20"/>
                <w:szCs w:val="20"/>
                <w:lang w:eastAsia="zh-CN"/>
              </w:rPr>
              <w:t>EN IEC 62311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:2020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2A56F874" w14:textId="77777777" w:rsidR="002D608C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EN IEC 62368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noBreakHyphen/>
              <w:t>1:2020 + A11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 xml:space="preserve"> (</w:t>
            </w:r>
            <w:r w:rsidRPr="002D608C">
              <w:rPr>
                <w:rFonts w:eastAsia="DengXian"/>
                <w:bCs/>
                <w:sz w:val="20"/>
                <w:szCs w:val="20"/>
                <w:lang w:eastAsia="zh-CN"/>
              </w:rPr>
              <w:t>Artikel 3.1(a)</w:t>
            </w:r>
            <w:r>
              <w:rPr>
                <w:rFonts w:eastAsia="DengXian"/>
                <w:bCs/>
                <w:sz w:val="20"/>
                <w:szCs w:val="20"/>
                <w:lang w:eastAsia="zh-CN"/>
              </w:rPr>
              <w:t>)</w:t>
            </w:r>
          </w:p>
          <w:p w14:paraId="65863781" w14:textId="77777777" w:rsidR="002D608C" w:rsidRPr="00F33C57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</w:p>
        </w:tc>
      </w:tr>
      <w:tr w:rsidR="002D608C" w:rsidRPr="004B034C" w14:paraId="4C833311" w14:textId="77777777" w:rsidTr="0066280C">
        <w:trPr>
          <w:trHeight w:val="1086"/>
        </w:trPr>
        <w:tc>
          <w:tcPr>
            <w:tcW w:w="3854" w:type="dxa"/>
            <w:vAlign w:val="center"/>
          </w:tcPr>
          <w:p w14:paraId="2CC6F111" w14:textId="4E98AD08" w:rsidR="002D608C" w:rsidRPr="00FA59F1" w:rsidRDefault="002D608C" w:rsidP="00F145C7">
            <w:pPr>
              <w:tabs>
                <w:tab w:val="left" w:pos="1418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FA59F1">
              <w:rPr>
                <w:b/>
                <w:bCs/>
                <w:sz w:val="20"/>
                <w:szCs w:val="20"/>
                <w:lang w:val="en-US"/>
              </w:rPr>
              <w:t>EMC-Directive 2014/30/EU</w:t>
            </w:r>
          </w:p>
        </w:tc>
        <w:tc>
          <w:tcPr>
            <w:tcW w:w="5656" w:type="dxa"/>
            <w:vAlign w:val="center"/>
          </w:tcPr>
          <w:p w14:paraId="671AD737" w14:textId="4CE8B77A" w:rsidR="002D608C" w:rsidRPr="00F33C57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301 489-1 V2.2.3(2019-11):</w:t>
            </w:r>
          </w:p>
          <w:p w14:paraId="0BBF421C" w14:textId="77777777" w:rsidR="002D608C" w:rsidRPr="00F33C57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ETSI EN 301 489-3 V2.3.2 (2023-01):</w:t>
            </w:r>
          </w:p>
          <w:p w14:paraId="4357D994" w14:textId="77777777" w:rsidR="002D608C" w:rsidRPr="00F33C57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55032:2015+A11:2020+A1:2020;</w:t>
            </w:r>
          </w:p>
          <w:p w14:paraId="1C42DF74" w14:textId="1282B8D8" w:rsidR="005A0CF3" w:rsidRPr="004B034C" w:rsidRDefault="002D608C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33C57">
              <w:rPr>
                <w:rFonts w:eastAsia="DengXian"/>
                <w:bCs/>
                <w:sz w:val="20"/>
                <w:szCs w:val="20"/>
                <w:lang w:eastAsia="zh-CN"/>
              </w:rPr>
              <w:t>EN 55035:2017+A11:2020;</w:t>
            </w:r>
          </w:p>
        </w:tc>
      </w:tr>
      <w:tr w:rsidR="002D608C" w:rsidRPr="004B034C" w14:paraId="32E76639" w14:textId="77777777" w:rsidTr="00F145C7">
        <w:trPr>
          <w:trHeight w:val="218"/>
        </w:trPr>
        <w:tc>
          <w:tcPr>
            <w:tcW w:w="3854" w:type="dxa"/>
            <w:vAlign w:val="center"/>
          </w:tcPr>
          <w:p w14:paraId="604AE96B" w14:textId="77777777" w:rsidR="002D608C" w:rsidRPr="00FA59F1" w:rsidRDefault="002D608C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34E98A55" w14:textId="77777777" w:rsidR="002D608C" w:rsidRPr="00FA59F1" w:rsidRDefault="002D608C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D4ECC5F" w14:textId="77777777" w:rsidR="0072034E" w:rsidRPr="00FA59F1" w:rsidRDefault="0072034E" w:rsidP="0072034E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FA59F1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>Battery</w:t>
            </w:r>
            <w:proofErr w:type="spellEnd"/>
            <w:r w:rsidRPr="00FA59F1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A59F1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>Safety</w:t>
            </w:r>
            <w:proofErr w:type="spellEnd"/>
            <w:r w:rsidRPr="00FA59F1">
              <w:rPr>
                <w:rFonts w:eastAsia="DengXian"/>
                <w:b/>
                <w:bCs/>
                <w:sz w:val="20"/>
                <w:szCs w:val="20"/>
                <w:lang w:eastAsia="zh-CN"/>
              </w:rPr>
              <w:t xml:space="preserve"> Test Report</w:t>
            </w:r>
          </w:p>
          <w:p w14:paraId="2CCBF2F2" w14:textId="77777777" w:rsidR="002D608C" w:rsidRPr="00FA59F1" w:rsidRDefault="002D608C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27340941" w14:textId="77777777" w:rsidR="002D608C" w:rsidRPr="00FA59F1" w:rsidRDefault="002D608C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1253C634" w14:textId="60102711" w:rsidR="002D608C" w:rsidRPr="004B034C" w:rsidRDefault="0072034E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82875">
              <w:rPr>
                <w:rFonts w:eastAsia="DengXian"/>
                <w:bCs/>
                <w:sz w:val="20"/>
                <w:szCs w:val="20"/>
                <w:lang w:eastAsia="zh-CN"/>
              </w:rPr>
              <w:t>EN IEC 62133-2</w:t>
            </w:r>
          </w:p>
        </w:tc>
      </w:tr>
      <w:tr w:rsidR="002D608C" w:rsidRPr="004B034C" w14:paraId="77F5C0F6" w14:textId="77777777" w:rsidTr="0072034E">
        <w:trPr>
          <w:trHeight w:val="1784"/>
        </w:trPr>
        <w:tc>
          <w:tcPr>
            <w:tcW w:w="3854" w:type="dxa"/>
            <w:vAlign w:val="center"/>
          </w:tcPr>
          <w:p w14:paraId="72496E6C" w14:textId="77777777" w:rsidR="002D608C" w:rsidRPr="00FA59F1" w:rsidRDefault="002D608C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61E1DA6" w14:textId="77777777" w:rsidR="002D608C" w:rsidRPr="00FA59F1" w:rsidRDefault="002D608C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74E47F9" w14:textId="3836FB29" w:rsidR="005A0CF3" w:rsidRPr="00FA59F1" w:rsidRDefault="005A0CF3" w:rsidP="005A0CF3">
            <w:pPr>
              <w:rPr>
                <w:b/>
                <w:bCs/>
                <w:sz w:val="20"/>
                <w:szCs w:val="20"/>
              </w:rPr>
            </w:pPr>
            <w:r w:rsidRPr="00FA59F1">
              <w:rPr>
                <w:b/>
                <w:bCs/>
                <w:sz w:val="20"/>
                <w:szCs w:val="20"/>
              </w:rPr>
              <w:t>RoHS-</w:t>
            </w:r>
            <w:proofErr w:type="spellStart"/>
            <w:r w:rsidRPr="00FA59F1">
              <w:rPr>
                <w:b/>
                <w:bCs/>
                <w:sz w:val="20"/>
                <w:szCs w:val="20"/>
              </w:rPr>
              <w:t>Directive</w:t>
            </w:r>
            <w:proofErr w:type="spellEnd"/>
            <w:r w:rsidRPr="00FA59F1">
              <w:rPr>
                <w:b/>
                <w:bCs/>
                <w:sz w:val="20"/>
                <w:szCs w:val="20"/>
              </w:rPr>
              <w:t xml:space="preserve"> 2011/65/EU </w:t>
            </w:r>
            <w:r w:rsidR="006F1CAF">
              <w:rPr>
                <w:b/>
                <w:bCs/>
                <w:sz w:val="20"/>
                <w:szCs w:val="20"/>
              </w:rPr>
              <w:t xml:space="preserve">            </w:t>
            </w:r>
            <w:r w:rsidR="006A54DB">
              <w:rPr>
                <w:b/>
                <w:bCs/>
                <w:sz w:val="20"/>
                <w:szCs w:val="20"/>
              </w:rPr>
              <w:t>and</w:t>
            </w:r>
            <w:r w:rsidRPr="00FA59F1">
              <w:rPr>
                <w:b/>
                <w:bCs/>
                <w:sz w:val="20"/>
                <w:szCs w:val="20"/>
              </w:rPr>
              <w:t xml:space="preserve"> (EU) 2015/863</w:t>
            </w:r>
          </w:p>
          <w:p w14:paraId="371B7D0E" w14:textId="77777777" w:rsidR="002D608C" w:rsidRPr="00FA59F1" w:rsidRDefault="002D608C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184BA697" w14:textId="77777777" w:rsidR="009A6970" w:rsidRDefault="009A6970" w:rsidP="009A6970">
            <w:pPr>
              <w:rPr>
                <w:sz w:val="20"/>
                <w:szCs w:val="20"/>
              </w:rPr>
            </w:pPr>
            <w:r w:rsidRPr="009A6970">
              <w:rPr>
                <w:sz w:val="20"/>
                <w:szCs w:val="20"/>
              </w:rPr>
              <w:t>EN IEC 62321</w:t>
            </w:r>
            <w:r>
              <w:rPr>
                <w:sz w:val="20"/>
                <w:szCs w:val="20"/>
              </w:rPr>
              <w:t>-3-1:2013</w:t>
            </w:r>
          </w:p>
          <w:p w14:paraId="2942B1D8" w14:textId="77777777" w:rsidR="009A6970" w:rsidRDefault="009A6970" w:rsidP="009A6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62321-4:2013+A1:2017</w:t>
            </w:r>
          </w:p>
          <w:p w14:paraId="7EAD6DC7" w14:textId="77777777" w:rsidR="009A6970" w:rsidRDefault="009A6970" w:rsidP="009A6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62321-5:2013</w:t>
            </w:r>
          </w:p>
          <w:p w14:paraId="5E5961FA" w14:textId="77777777" w:rsidR="009A6970" w:rsidRDefault="009A6970" w:rsidP="009A6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62321-6:2015</w:t>
            </w:r>
          </w:p>
          <w:p w14:paraId="2610A93C" w14:textId="77777777" w:rsidR="009A6970" w:rsidRDefault="009A6970" w:rsidP="009A6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62321-7-1:2015</w:t>
            </w:r>
          </w:p>
          <w:p w14:paraId="68392E79" w14:textId="77777777" w:rsidR="009A6970" w:rsidRDefault="009A6970" w:rsidP="009A6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IEC 62321-7-2:2017</w:t>
            </w:r>
          </w:p>
          <w:p w14:paraId="34994B97" w14:textId="74B8C354" w:rsidR="002D608C" w:rsidRPr="004B034C" w:rsidRDefault="009A6970" w:rsidP="009A6970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EN IEC 62321-8:2017</w:t>
            </w:r>
          </w:p>
        </w:tc>
      </w:tr>
      <w:tr w:rsidR="0072034E" w:rsidRPr="004B034C" w14:paraId="5B176301" w14:textId="77777777" w:rsidTr="0072034E">
        <w:trPr>
          <w:trHeight w:val="505"/>
        </w:trPr>
        <w:tc>
          <w:tcPr>
            <w:tcW w:w="3854" w:type="dxa"/>
            <w:vAlign w:val="center"/>
          </w:tcPr>
          <w:p w14:paraId="45C88314" w14:textId="30008769" w:rsidR="0072034E" w:rsidRPr="00FA59F1" w:rsidRDefault="0072034E" w:rsidP="00425FCC">
            <w:pPr>
              <w:tabs>
                <w:tab w:val="left" w:pos="1418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FA59F1">
              <w:rPr>
                <w:b/>
                <w:bCs/>
                <w:sz w:val="20"/>
                <w:szCs w:val="20"/>
                <w:lang w:val="en-US"/>
              </w:rPr>
              <w:t>Battery Regulation (EU) 2023/1542</w:t>
            </w:r>
          </w:p>
        </w:tc>
        <w:tc>
          <w:tcPr>
            <w:tcW w:w="5656" w:type="dxa"/>
            <w:vAlign w:val="center"/>
          </w:tcPr>
          <w:p w14:paraId="3859762D" w14:textId="4F37D6A1" w:rsidR="0072034E" w:rsidRPr="00682875" w:rsidRDefault="0072034E" w:rsidP="0072034E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66280C">
              <w:rPr>
                <w:rFonts w:eastAsia="DengXian"/>
                <w:bCs/>
                <w:i/>
                <w:iCs/>
                <w:sz w:val="20"/>
                <w:szCs w:val="20"/>
                <w:lang w:val="en-US" w:eastAsia="zh-CN"/>
              </w:rPr>
              <w:t>(No standards required)</w:t>
            </w:r>
          </w:p>
        </w:tc>
      </w:tr>
    </w:tbl>
    <w:p w14:paraId="0A4F91E9" w14:textId="77777777" w:rsidR="00FE2C7B" w:rsidRPr="009A085C" w:rsidRDefault="00FE2C7B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99D40DB" w14:textId="77777777" w:rsidR="00A16C8F" w:rsidRPr="009A085C" w:rsidRDefault="00A16C8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3C6C3B22" w14:textId="6E250392" w:rsidR="002F6308" w:rsidRDefault="002F6308" w:rsidP="007236BE">
      <w:pPr>
        <w:rPr>
          <w:sz w:val="20"/>
          <w:szCs w:val="20"/>
          <w:lang w:val="en-US"/>
        </w:rPr>
      </w:pPr>
    </w:p>
    <w:p w14:paraId="379ABC6D" w14:textId="77777777" w:rsidR="006F1CAF" w:rsidRDefault="006F1CAF" w:rsidP="007236BE">
      <w:pPr>
        <w:rPr>
          <w:sz w:val="20"/>
          <w:szCs w:val="20"/>
          <w:lang w:val="en-US"/>
        </w:rPr>
      </w:pPr>
    </w:p>
    <w:p w14:paraId="12B3216F" w14:textId="74FA0B91" w:rsidR="00164C91" w:rsidRDefault="00164C91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6B6063BE">
            <wp:simplePos x="0" y="0"/>
            <wp:positionH relativeFrom="column">
              <wp:posOffset>3611880</wp:posOffset>
            </wp:positionH>
            <wp:positionV relativeFrom="paragraph">
              <wp:posOffset>53975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591E49" w14:textId="04ADEADE" w:rsidR="00164C91" w:rsidRPr="009A085C" w:rsidRDefault="00164C91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1845689F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proofErr w:type="spellStart"/>
      <w:r w:rsidR="00125C52">
        <w:rPr>
          <w:sz w:val="20"/>
          <w:szCs w:val="20"/>
          <w:lang w:val="en-US"/>
        </w:rPr>
        <w:t>Emsbüren</w:t>
      </w:r>
      <w:proofErr w:type="spellEnd"/>
      <w:r w:rsidRPr="00205EE1">
        <w:rPr>
          <w:sz w:val="20"/>
          <w:szCs w:val="20"/>
          <w:lang w:val="en-US"/>
        </w:rPr>
        <w:t>;</w:t>
      </w:r>
      <w:r w:rsidR="00125C52">
        <w:rPr>
          <w:sz w:val="20"/>
          <w:szCs w:val="20"/>
          <w:lang w:val="en-US"/>
        </w:rPr>
        <w:t xml:space="preserve"> </w:t>
      </w:r>
      <w:r w:rsidR="002C1881">
        <w:rPr>
          <w:sz w:val="20"/>
          <w:szCs w:val="20"/>
          <w:lang w:val="en-US"/>
        </w:rPr>
        <w:t>09</w:t>
      </w:r>
      <w:r w:rsidR="00475F8B">
        <w:rPr>
          <w:sz w:val="20"/>
          <w:szCs w:val="20"/>
          <w:lang w:val="en-US"/>
        </w:rPr>
        <w:t>.</w:t>
      </w:r>
      <w:r w:rsidR="002C1881">
        <w:rPr>
          <w:sz w:val="20"/>
          <w:szCs w:val="20"/>
          <w:lang w:val="en-US"/>
        </w:rPr>
        <w:t>12</w:t>
      </w:r>
      <w:r w:rsidR="00475F8B">
        <w:rPr>
          <w:sz w:val="20"/>
          <w:szCs w:val="20"/>
          <w:lang w:val="en-US"/>
        </w:rPr>
        <w:t>.202</w:t>
      </w:r>
      <w:r w:rsidR="002C1881">
        <w:rPr>
          <w:sz w:val="20"/>
          <w:szCs w:val="20"/>
          <w:lang w:val="en-US"/>
        </w:rPr>
        <w:t>5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proofErr w:type="spellStart"/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</w:t>
      </w:r>
      <w:proofErr w:type="spellEnd"/>
      <w:r w:rsidR="002F6308">
        <w:rPr>
          <w:sz w:val="20"/>
          <w:szCs w:val="20"/>
          <w:lang w:val="en-US"/>
        </w:rPr>
        <w:t xml:space="preserve">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0ECEB64" w14:textId="77777777" w:rsidR="009A085C" w:rsidRDefault="009A085C" w:rsidP="002F6308">
      <w:pPr>
        <w:rPr>
          <w:sz w:val="20"/>
          <w:szCs w:val="20"/>
        </w:rPr>
      </w:pPr>
    </w:p>
    <w:p w14:paraId="28954810" w14:textId="77777777" w:rsidR="009A085C" w:rsidRPr="0060465F" w:rsidRDefault="009A085C" w:rsidP="002F6308">
      <w:pPr>
        <w:rPr>
          <w:sz w:val="20"/>
          <w:szCs w:val="20"/>
        </w:rPr>
      </w:pPr>
    </w:p>
    <w:sectPr w:rsidR="009A085C" w:rsidRPr="0060465F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31003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25C52"/>
    <w:rsid w:val="0013344B"/>
    <w:rsid w:val="00145E92"/>
    <w:rsid w:val="00157A8B"/>
    <w:rsid w:val="00157FBB"/>
    <w:rsid w:val="00164C91"/>
    <w:rsid w:val="00174AAE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1881"/>
    <w:rsid w:val="002C2150"/>
    <w:rsid w:val="002C305B"/>
    <w:rsid w:val="002C30D9"/>
    <w:rsid w:val="002D3EEF"/>
    <w:rsid w:val="002D608C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25FCC"/>
    <w:rsid w:val="00437891"/>
    <w:rsid w:val="004420E4"/>
    <w:rsid w:val="00454222"/>
    <w:rsid w:val="00475F8B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0CF3"/>
    <w:rsid w:val="005A3445"/>
    <w:rsid w:val="005B5B7F"/>
    <w:rsid w:val="005D2378"/>
    <w:rsid w:val="005E774D"/>
    <w:rsid w:val="006016D0"/>
    <w:rsid w:val="0060465F"/>
    <w:rsid w:val="0060710A"/>
    <w:rsid w:val="00616EEF"/>
    <w:rsid w:val="00653784"/>
    <w:rsid w:val="0066280C"/>
    <w:rsid w:val="00665965"/>
    <w:rsid w:val="006659F1"/>
    <w:rsid w:val="00682875"/>
    <w:rsid w:val="006835B5"/>
    <w:rsid w:val="00683637"/>
    <w:rsid w:val="0069263E"/>
    <w:rsid w:val="00693D9B"/>
    <w:rsid w:val="006A54DB"/>
    <w:rsid w:val="006A6145"/>
    <w:rsid w:val="006A78CC"/>
    <w:rsid w:val="006B2EAC"/>
    <w:rsid w:val="006C6D5D"/>
    <w:rsid w:val="006E241B"/>
    <w:rsid w:val="006E40B7"/>
    <w:rsid w:val="006E67F1"/>
    <w:rsid w:val="006F1CAF"/>
    <w:rsid w:val="00703E68"/>
    <w:rsid w:val="007047C8"/>
    <w:rsid w:val="0072034E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4A51"/>
    <w:rsid w:val="00857E4F"/>
    <w:rsid w:val="00873074"/>
    <w:rsid w:val="0087729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A6970"/>
    <w:rsid w:val="009D2211"/>
    <w:rsid w:val="00A108FE"/>
    <w:rsid w:val="00A11AB9"/>
    <w:rsid w:val="00A16C8F"/>
    <w:rsid w:val="00A31A13"/>
    <w:rsid w:val="00A330B2"/>
    <w:rsid w:val="00A501BC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0545"/>
    <w:rsid w:val="00CE6039"/>
    <w:rsid w:val="00CE7E7D"/>
    <w:rsid w:val="00CF6F44"/>
    <w:rsid w:val="00D04927"/>
    <w:rsid w:val="00D07EFF"/>
    <w:rsid w:val="00D66EB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84467"/>
    <w:rsid w:val="00E93D72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397E"/>
    <w:rsid w:val="00F24A57"/>
    <w:rsid w:val="00F33C57"/>
    <w:rsid w:val="00F34A5C"/>
    <w:rsid w:val="00F35807"/>
    <w:rsid w:val="00F427D4"/>
    <w:rsid w:val="00F4380E"/>
    <w:rsid w:val="00F51111"/>
    <w:rsid w:val="00F66935"/>
    <w:rsid w:val="00F87BF2"/>
    <w:rsid w:val="00F900D3"/>
    <w:rsid w:val="00FA59F1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E05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semiHidden/>
    <w:rsid w:val="00CE054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Elena Jäckering</cp:lastModifiedBy>
  <cp:revision>12</cp:revision>
  <cp:lastPrinted>2019-03-19T10:36:00Z</cp:lastPrinted>
  <dcterms:created xsi:type="dcterms:W3CDTF">2026-04-15T13:30:00Z</dcterms:created>
  <dcterms:modified xsi:type="dcterms:W3CDTF">2026-05-04T14:32:00Z</dcterms:modified>
</cp:coreProperties>
</file>