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B9A4" w14:textId="77777777" w:rsidR="002F6308" w:rsidRPr="00F4380E" w:rsidRDefault="002F6308" w:rsidP="002F6308">
      <w:pPr>
        <w:rPr>
          <w:bCs/>
        </w:rPr>
      </w:pPr>
    </w:p>
    <w:p w14:paraId="5846A0D8" w14:textId="202547FB" w:rsidR="002F6308" w:rsidRPr="00205EE1" w:rsidRDefault="002F6308" w:rsidP="002F6308">
      <w:pPr>
        <w:jc w:val="center"/>
        <w:rPr>
          <w:b/>
          <w:sz w:val="24"/>
          <w:u w:val="single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4BC8D819" wp14:editId="160F7850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69166996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b/>
          <w:sz w:val="24"/>
          <w:u w:val="single"/>
        </w:rPr>
        <w:t>EU</w:t>
      </w:r>
      <w:r w:rsidR="0098712C">
        <w:rPr>
          <w:b/>
          <w:sz w:val="24"/>
          <w:u w:val="single"/>
        </w:rPr>
        <w:t>-Konformitätserklärung</w:t>
      </w:r>
    </w:p>
    <w:p w14:paraId="28955743" w14:textId="77777777" w:rsidR="002F6308" w:rsidRPr="00205EE1" w:rsidRDefault="002F6308" w:rsidP="002F6308">
      <w:pPr>
        <w:rPr>
          <w:bCs/>
        </w:rPr>
      </w:pPr>
    </w:p>
    <w:p w14:paraId="04416230" w14:textId="77777777" w:rsidR="002F6308" w:rsidRPr="00205EE1" w:rsidRDefault="002F6308" w:rsidP="002F6308"/>
    <w:p w14:paraId="5B606B6E" w14:textId="36DB9468" w:rsidR="002F6308" w:rsidRPr="00A330B2" w:rsidRDefault="002F6308" w:rsidP="002F6308">
      <w:pPr>
        <w:pStyle w:val="berschrift1"/>
        <w:ind w:left="2832" w:hanging="2832"/>
      </w:pPr>
      <w:r w:rsidRPr="00A330B2">
        <w:t>W</w:t>
      </w:r>
      <w:r w:rsidR="00A330B2" w:rsidRPr="00A330B2">
        <w:t>ir</w:t>
      </w:r>
      <w:r w:rsidRPr="00A330B2">
        <w:t xml:space="preserve">, </w:t>
      </w:r>
      <w:r w:rsidR="00A330B2" w:rsidRPr="00A330B2">
        <w:t>das</w:t>
      </w:r>
      <w:r w:rsidRPr="00A330B2">
        <w:t xml:space="preserve"> </w:t>
      </w:r>
      <w:r w:rsidR="00A330B2" w:rsidRPr="00A330B2">
        <w:t>U</w:t>
      </w:r>
      <w:r w:rsidR="00A330B2">
        <w:t>nternehmen</w:t>
      </w:r>
      <w:r w:rsidRPr="00A330B2">
        <w:rPr>
          <w:b w:val="0"/>
        </w:rPr>
        <w:tab/>
      </w:r>
      <w:r w:rsidRPr="002A4A9B">
        <w:rPr>
          <w:rFonts w:asciiTheme="majorHAnsi" w:hAnsiTheme="majorHAnsi"/>
          <w:noProof/>
          <w:color w:val="000000"/>
          <w:lang w:eastAsia="de-DE"/>
        </w:rPr>
        <w:t>XLayer GmbH</w:t>
      </w:r>
      <w:r w:rsidRPr="002A4A9B">
        <w:rPr>
          <w:rFonts w:asciiTheme="majorHAnsi" w:hAnsiTheme="majorHAnsi"/>
          <w:noProof/>
          <w:color w:val="000000"/>
          <w:sz w:val="16"/>
          <w:szCs w:val="16"/>
          <w:lang w:eastAsia="de-DE"/>
        </w:rPr>
        <w:t xml:space="preserve"> </w:t>
      </w:r>
    </w:p>
    <w:p w14:paraId="1D064A4F" w14:textId="77777777" w:rsidR="002F6308" w:rsidRPr="006A6145" w:rsidRDefault="002F6308" w:rsidP="002F6308">
      <w:pPr>
        <w:pStyle w:val="berschrift1"/>
        <w:ind w:left="2832" w:hanging="2832"/>
        <w:rPr>
          <w:b w:val="0"/>
          <w:bCs w:val="0"/>
        </w:rPr>
      </w:pPr>
      <w:r w:rsidRPr="00A330B2">
        <w:tab/>
      </w:r>
      <w:r w:rsidRPr="006A6145">
        <w:rPr>
          <w:b w:val="0"/>
          <w:bCs w:val="0"/>
        </w:rPr>
        <w:t>Inselkammerstraße 2</w:t>
      </w:r>
      <w:r w:rsidRPr="006A6145">
        <w:rPr>
          <w:b w:val="0"/>
          <w:bCs w:val="0"/>
        </w:rPr>
        <w:br/>
        <w:t>82008 Unterhaching</w:t>
      </w:r>
      <w:r w:rsidRPr="006A6145">
        <w:rPr>
          <w:b w:val="0"/>
          <w:bCs w:val="0"/>
        </w:rPr>
        <w:br/>
        <w:t>Germany</w:t>
      </w:r>
      <w:r w:rsidRPr="006A6145">
        <w:rPr>
          <w:b w:val="0"/>
          <w:bCs w:val="0"/>
        </w:rPr>
        <w:tab/>
      </w:r>
    </w:p>
    <w:p w14:paraId="155D6908" w14:textId="77777777" w:rsidR="002F6308" w:rsidRPr="006A6145" w:rsidRDefault="002F6308" w:rsidP="002F6308">
      <w:pPr>
        <w:rPr>
          <w:sz w:val="20"/>
          <w:szCs w:val="20"/>
        </w:rPr>
      </w:pPr>
    </w:p>
    <w:p w14:paraId="781557F6" w14:textId="641D51D2" w:rsidR="002F6308" w:rsidRDefault="002F6308" w:rsidP="002F6308">
      <w:pPr>
        <w:jc w:val="center"/>
        <w:rPr>
          <w:b/>
          <w:sz w:val="20"/>
          <w:szCs w:val="20"/>
        </w:rPr>
      </w:pPr>
      <w:r w:rsidRPr="0060465F">
        <w:rPr>
          <w:b/>
          <w:sz w:val="20"/>
          <w:szCs w:val="20"/>
        </w:rPr>
        <w:t>erklären unter unserer alleinigen Verantwortung, dass das folgende Produkt</w:t>
      </w:r>
    </w:p>
    <w:p w14:paraId="3F6401C1" w14:textId="77777777" w:rsidR="002F6308" w:rsidRDefault="002F6308" w:rsidP="002F6308">
      <w:pPr>
        <w:rPr>
          <w:b/>
          <w:sz w:val="20"/>
          <w:szCs w:val="20"/>
        </w:rPr>
      </w:pPr>
    </w:p>
    <w:p w14:paraId="06B5529E" w14:textId="77777777" w:rsidR="002F6308" w:rsidRPr="002F6308" w:rsidRDefault="002F6308" w:rsidP="002F6308">
      <w:pPr>
        <w:rPr>
          <w:b/>
          <w:sz w:val="20"/>
          <w:szCs w:val="20"/>
        </w:rPr>
      </w:pPr>
    </w:p>
    <w:p w14:paraId="65DC64F0" w14:textId="3FE27E50" w:rsidR="002F6308" w:rsidRPr="00994895" w:rsidRDefault="002F6308" w:rsidP="002F6308">
      <w:pPr>
        <w:tabs>
          <w:tab w:val="left" w:pos="1418"/>
        </w:tabs>
        <w:rPr>
          <w:bCs/>
          <w:sz w:val="20"/>
          <w:szCs w:val="20"/>
        </w:rPr>
      </w:pPr>
      <w:r w:rsidRPr="002F6308">
        <w:rPr>
          <w:sz w:val="20"/>
          <w:szCs w:val="20"/>
          <w:u w:val="single"/>
        </w:rPr>
        <w:t>Produktbezeichnung</w:t>
      </w:r>
      <w:r>
        <w:rPr>
          <w:sz w:val="20"/>
          <w:szCs w:val="20"/>
          <w:u w:val="single"/>
        </w:rPr>
        <w:t>:</w:t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="00AB53B1" w:rsidRPr="00AB53B1">
        <w:rPr>
          <w:sz w:val="20"/>
          <w:szCs w:val="20"/>
        </w:rPr>
        <w:t>XLayer Powerbank Rapid 20.000 mAh schwarz</w:t>
      </w:r>
    </w:p>
    <w:p w14:paraId="53192CAB" w14:textId="77777777" w:rsidR="002F6308" w:rsidRPr="00994895" w:rsidRDefault="002F6308" w:rsidP="002F6308">
      <w:pPr>
        <w:autoSpaceDE w:val="0"/>
        <w:autoSpaceDN w:val="0"/>
        <w:adjustRightInd w:val="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lang w:eastAsia="de-DE"/>
        </w:rPr>
        <w:tab/>
      </w:r>
    </w:p>
    <w:p w14:paraId="07D38207" w14:textId="752A8436" w:rsidR="002F6308" w:rsidRPr="00994895" w:rsidRDefault="002F6308" w:rsidP="002F6308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u w:val="single"/>
          <w:lang w:eastAsia="de-DE"/>
        </w:rPr>
        <w:t>Artikel:</w:t>
      </w:r>
      <w:r w:rsidRPr="00994895">
        <w:rPr>
          <w:bCs/>
          <w:sz w:val="20"/>
          <w:szCs w:val="20"/>
          <w:lang w:eastAsia="de-DE"/>
        </w:rPr>
        <w:t xml:space="preserve">   </w:t>
      </w:r>
      <w:r w:rsidRPr="00994895">
        <w:rPr>
          <w:bCs/>
          <w:sz w:val="20"/>
          <w:szCs w:val="20"/>
          <w:lang w:eastAsia="de-DE"/>
        </w:rPr>
        <w:tab/>
      </w:r>
      <w:r w:rsidRPr="00994895">
        <w:rPr>
          <w:bCs/>
          <w:sz w:val="20"/>
          <w:szCs w:val="20"/>
          <w:u w:val="single"/>
          <w:lang w:eastAsia="de-DE"/>
        </w:rPr>
        <w:t>EAN:</w:t>
      </w:r>
    </w:p>
    <w:p w14:paraId="582FFB37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43C5616B" w14:textId="199B348E" w:rsidR="002F6308" w:rsidRPr="00994895" w:rsidRDefault="00AB53B1" w:rsidP="002F6308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220548</w:t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Pr="00AB53B1">
        <w:rPr>
          <w:sz w:val="20"/>
          <w:szCs w:val="20"/>
          <w:lang w:eastAsia="de-DE"/>
        </w:rPr>
        <w:t>4260458925034</w:t>
      </w:r>
    </w:p>
    <w:p w14:paraId="06372A0E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0D5508F2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244E5B0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77517CC" w14:textId="068799E8" w:rsidR="002F6308" w:rsidRDefault="002F6308" w:rsidP="002F6308">
      <w:pPr>
        <w:jc w:val="center"/>
        <w:rPr>
          <w:rFonts w:eastAsia="DengXian"/>
          <w:b/>
          <w:sz w:val="20"/>
          <w:szCs w:val="20"/>
          <w:lang w:eastAsia="zh-CN"/>
        </w:rPr>
      </w:pPr>
      <w:r w:rsidRPr="0060465F">
        <w:rPr>
          <w:rFonts w:eastAsia="DengXian"/>
          <w:b/>
          <w:sz w:val="20"/>
          <w:szCs w:val="20"/>
          <w:lang w:eastAsia="zh-CN"/>
        </w:rPr>
        <w:t>in vollem Umfang mit den grundlegenden Anforderungen de</w:t>
      </w:r>
      <w:r w:rsidR="009A085C">
        <w:rPr>
          <w:rFonts w:eastAsia="DengXian"/>
          <w:b/>
          <w:sz w:val="20"/>
          <w:szCs w:val="20"/>
          <w:lang w:eastAsia="zh-CN"/>
        </w:rPr>
        <w:t>r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 folgenden Richtlinien</w:t>
      </w:r>
      <w:r w:rsidR="009A085C">
        <w:rPr>
          <w:rFonts w:eastAsia="DengXian"/>
          <w:b/>
          <w:sz w:val="20"/>
          <w:szCs w:val="20"/>
          <w:lang w:eastAsia="zh-CN"/>
        </w:rPr>
        <w:t xml:space="preserve">, 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Verordnungen </w:t>
      </w:r>
      <w:r w:rsidR="009A085C">
        <w:rPr>
          <w:rFonts w:eastAsia="DengXian"/>
          <w:b/>
          <w:sz w:val="20"/>
          <w:szCs w:val="20"/>
          <w:lang w:eastAsia="zh-CN"/>
        </w:rPr>
        <w:t xml:space="preserve">und Normen </w:t>
      </w:r>
      <w:r w:rsidRPr="0060465F">
        <w:rPr>
          <w:rFonts w:eastAsia="DengXian"/>
          <w:b/>
          <w:sz w:val="20"/>
          <w:szCs w:val="20"/>
          <w:lang w:eastAsia="zh-CN"/>
        </w:rPr>
        <w:t>übereinstimmt.</w:t>
      </w:r>
    </w:p>
    <w:p w14:paraId="6BB97634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44F8929D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616B66D" w14:textId="77777777" w:rsidTr="009A085C">
        <w:tc>
          <w:tcPr>
            <w:tcW w:w="9062" w:type="dxa"/>
          </w:tcPr>
          <w:p w14:paraId="40D1A794" w14:textId="0430C070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Richtlinien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Verordnungen</w:t>
            </w:r>
            <w:proofErr w:type="spellEnd"/>
            <w:r>
              <w:rPr>
                <w:rFonts w:eastAsia="DengXi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A085C" w14:paraId="602F4FFF" w14:textId="77777777" w:rsidTr="009A085C">
        <w:tc>
          <w:tcPr>
            <w:tcW w:w="9062" w:type="dxa"/>
          </w:tcPr>
          <w:p w14:paraId="23FF6FC7" w14:textId="77777777" w:rsidR="00276710" w:rsidRDefault="00276710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60923750" w14:textId="235A6279" w:rsidR="00205EE1" w:rsidRDefault="00224464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EMV-Richt</w:t>
            </w:r>
            <w:r w:rsidR="001824DB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inie</w:t>
            </w:r>
            <w:r w:rsidR="00000868" w:rsidRPr="00000868">
              <w:rPr>
                <w:sz w:val="20"/>
                <w:szCs w:val="20"/>
              </w:rPr>
              <w:t xml:space="preserve"> 2014/30/EU</w:t>
            </w:r>
          </w:p>
          <w:p w14:paraId="4CF6EC75" w14:textId="77777777" w:rsidR="00205EE1" w:rsidRDefault="00205EE1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4E1BBA54" w14:textId="32283E9D" w:rsidR="009A085C" w:rsidRDefault="009A085C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  <w:r w:rsidRPr="003949DF">
              <w:rPr>
                <w:sz w:val="20"/>
                <w:szCs w:val="20"/>
              </w:rPr>
              <w:t>Batterieverordnung (EU) 2023/1542</w:t>
            </w:r>
          </w:p>
          <w:p w14:paraId="18C8062E" w14:textId="77777777" w:rsidR="009A085C" w:rsidRDefault="009A085C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7587ADBE" w14:textId="0A1A0055" w:rsidR="009A085C" w:rsidRDefault="009A085C" w:rsidP="00224464">
            <w:pPr>
              <w:rPr>
                <w:sz w:val="20"/>
                <w:szCs w:val="20"/>
              </w:rPr>
            </w:pPr>
            <w:r w:rsidRPr="003949DF">
              <w:rPr>
                <w:sz w:val="20"/>
                <w:szCs w:val="20"/>
              </w:rPr>
              <w:t>RoHS</w:t>
            </w:r>
            <w:r w:rsidR="00224464">
              <w:rPr>
                <w:sz w:val="20"/>
                <w:szCs w:val="20"/>
              </w:rPr>
              <w:t xml:space="preserve">-Richtlinie </w:t>
            </w:r>
            <w:r w:rsidRPr="003949DF">
              <w:rPr>
                <w:sz w:val="20"/>
                <w:szCs w:val="20"/>
              </w:rPr>
              <w:t>2011/65/EU und (EU) 2015/863</w:t>
            </w:r>
          </w:p>
          <w:p w14:paraId="70614F62" w14:textId="77777777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</w:p>
        </w:tc>
      </w:tr>
    </w:tbl>
    <w:p w14:paraId="20311E00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17589AE7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26F3FB96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7352FBB3" w14:textId="77777777" w:rsidTr="009A085C">
        <w:tc>
          <w:tcPr>
            <w:tcW w:w="9062" w:type="dxa"/>
          </w:tcPr>
          <w:p w14:paraId="6561C86D" w14:textId="1657E26B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Normen</w:t>
            </w:r>
          </w:p>
        </w:tc>
      </w:tr>
      <w:tr w:rsidR="009A085C" w:rsidRPr="00AB53B1" w14:paraId="749D970A" w14:textId="77777777" w:rsidTr="009A085C">
        <w:tc>
          <w:tcPr>
            <w:tcW w:w="9062" w:type="dxa"/>
          </w:tcPr>
          <w:p w14:paraId="32AEB3F5" w14:textId="77777777" w:rsidR="00AB53B1" w:rsidRDefault="00AB53B1" w:rsidP="002F6308">
            <w:pPr>
              <w:rPr>
                <w:rFonts w:ascii="Arial Regular" w:eastAsia="DengXian" w:hAnsi="Arial Regular" w:cs="Arial Regular"/>
                <w:sz w:val="20"/>
                <w:szCs w:val="20"/>
                <w:lang w:val="fr-FR"/>
              </w:rPr>
            </w:pPr>
          </w:p>
          <w:p w14:paraId="7C3B7A51" w14:textId="4B2A593F" w:rsidR="00AB53B1" w:rsidRDefault="00AB53B1" w:rsidP="002F6308">
            <w:pPr>
              <w:rPr>
                <w:rFonts w:ascii="Arial Regular" w:eastAsia="DengXian" w:hAnsi="Arial Regular" w:cs="Arial Regular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EN 55032:2015+A11:2020+ A1:2020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55035:2017+ A11:2020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/>
              </w:rPr>
              <w:t xml:space="preserve"> 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IEC 61000-3-2:2019+A1:2021+A2:2024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61000-3-3:2013 +A1:2019 +A2:2021</w:t>
            </w:r>
          </w:p>
          <w:p w14:paraId="56578726" w14:textId="77777777" w:rsidR="009A085C" w:rsidRDefault="00AB53B1" w:rsidP="002F6308">
            <w:pPr>
              <w:rPr>
                <w:rFonts w:ascii="Arial Regular" w:eastAsia="DengXian" w:hAnsi="Arial Regular" w:cs="Arial Regular"/>
                <w:sz w:val="20"/>
                <w:szCs w:val="20"/>
                <w:lang w:val="en-GB" w:eastAsia="zh-CN"/>
              </w:rPr>
            </w:pPr>
            <w:r>
              <w:rPr>
                <w:rFonts w:ascii="Arial Regular" w:eastAsia="DengXian" w:hAnsi="Arial Regular" w:cs="Arial Regular" w:hint="eastAsia"/>
                <w:sz w:val="20"/>
                <w:szCs w:val="20"/>
              </w:rPr>
              <w:t>EN</w:t>
            </w:r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 Regular" w:eastAsia="DengXian" w:hAnsi="Arial Regular" w:cs="Arial Regular"/>
                <w:sz w:val="20"/>
                <w:szCs w:val="20"/>
                <w:lang w:val="en-GB" w:eastAsia="zh-CN"/>
              </w:rPr>
              <w:t>IEC 62368-1:2020+A11:2020</w:t>
            </w:r>
          </w:p>
          <w:p w14:paraId="629EAA72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 xml:space="preserve"> 62321-3-1:2013</w:t>
            </w:r>
          </w:p>
          <w:p w14:paraId="7BFDC867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62321-5:2013</w:t>
            </w:r>
          </w:p>
          <w:p w14:paraId="51FE1453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62321-4:201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3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+A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1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: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2017</w:t>
            </w:r>
          </w:p>
          <w:p w14:paraId="1B5E8634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62321-7-1:2015</w:t>
            </w:r>
          </w:p>
          <w:p w14:paraId="144F2866" w14:textId="77777777" w:rsid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</w:rPr>
            </w:pPr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>IEC 62321-7-2:2017</w:t>
            </w:r>
          </w:p>
          <w:p w14:paraId="3BCD8AAD" w14:textId="77777777" w:rsid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</w:rPr>
            </w:pPr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>IEC 62321-6:2015</w:t>
            </w:r>
          </w:p>
          <w:p w14:paraId="550D3C6C" w14:textId="574DDC79" w:rsidR="00AB53B1" w:rsidRDefault="00AB53B1" w:rsidP="00AB53B1">
            <w:pPr>
              <w:rPr>
                <w:rFonts w:ascii="Arial Regular" w:eastAsia="DengXian" w:hAnsi="Arial Regular" w:cs="Arial Regular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>lEC</w:t>
            </w:r>
            <w:proofErr w:type="spellEnd"/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 xml:space="preserve"> 62321-8: 2017</w:t>
            </w:r>
          </w:p>
          <w:p w14:paraId="518EF6C4" w14:textId="59EB12BE" w:rsidR="00AB53B1" w:rsidRPr="00AB53B1" w:rsidRDefault="00AB53B1" w:rsidP="002F6308">
            <w:pPr>
              <w:rPr>
                <w:rFonts w:eastAsia="DengXian"/>
                <w:b/>
                <w:sz w:val="20"/>
                <w:szCs w:val="20"/>
                <w:lang w:val="fr-FR" w:eastAsia="zh-CN"/>
              </w:rPr>
            </w:pPr>
          </w:p>
        </w:tc>
      </w:tr>
    </w:tbl>
    <w:p w14:paraId="79077ED5" w14:textId="77777777" w:rsidR="002F6308" w:rsidRPr="00AB53B1" w:rsidRDefault="002F6308" w:rsidP="002F6308">
      <w:pPr>
        <w:rPr>
          <w:rFonts w:eastAsia="DengXian"/>
          <w:b/>
          <w:sz w:val="20"/>
          <w:szCs w:val="20"/>
          <w:lang w:val="fr-FR" w:eastAsia="zh-CN"/>
        </w:rPr>
      </w:pPr>
    </w:p>
    <w:p w14:paraId="2F99AD50" w14:textId="77777777" w:rsidR="002F6308" w:rsidRPr="00AB53B1" w:rsidRDefault="002F6308" w:rsidP="002F6308">
      <w:pPr>
        <w:rPr>
          <w:rFonts w:eastAsia="DengXian"/>
          <w:b/>
          <w:sz w:val="20"/>
          <w:szCs w:val="20"/>
          <w:lang w:val="fr-FR" w:eastAsia="zh-CN"/>
        </w:rPr>
      </w:pPr>
    </w:p>
    <w:p w14:paraId="43D19104" w14:textId="77777777" w:rsidR="002F6308" w:rsidRPr="00AB53B1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59B52CCE" w14:textId="77777777" w:rsidR="002F6308" w:rsidRPr="00AB53B1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1684B953" w14:textId="0E56E0A0" w:rsidR="002F6308" w:rsidRPr="00AB53B1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7CC65A7F" w14:textId="0255DCB9" w:rsidR="002F6308" w:rsidRPr="00AB53B1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2D2AE972" w14:textId="166C0BFF" w:rsidR="002F6308" w:rsidRPr="00AB53B1" w:rsidRDefault="002F6308" w:rsidP="002F6308">
      <w:pPr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A15DB32" wp14:editId="07CCF2CB">
            <wp:simplePos x="0" y="0"/>
            <wp:positionH relativeFrom="column">
              <wp:posOffset>3607258</wp:posOffset>
            </wp:positionH>
            <wp:positionV relativeFrom="paragraph">
              <wp:posOffset>131667</wp:posOffset>
            </wp:positionV>
            <wp:extent cx="2524125" cy="647700"/>
            <wp:effectExtent l="0" t="0" r="9525" b="0"/>
            <wp:wrapNone/>
            <wp:docPr id="1961841575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E438F" w14:textId="77777777" w:rsidR="002F6308" w:rsidRPr="00AB53B1" w:rsidRDefault="002F6308" w:rsidP="002F6308">
      <w:pPr>
        <w:tabs>
          <w:tab w:val="left" w:pos="7300"/>
        </w:tabs>
        <w:rPr>
          <w:sz w:val="20"/>
          <w:szCs w:val="20"/>
          <w:lang w:val="fr-FR"/>
        </w:rPr>
      </w:pPr>
    </w:p>
    <w:p w14:paraId="46FE57A0" w14:textId="30B9D507" w:rsidR="002F6308" w:rsidRPr="00AB53B1" w:rsidRDefault="002F6308" w:rsidP="002F6308">
      <w:pPr>
        <w:tabs>
          <w:tab w:val="left" w:pos="7300"/>
        </w:tabs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DA68BA" wp14:editId="2D5716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464522045" name="Grafik 2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22045" name="Grafik 2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CFDBDB2" wp14:editId="7F7457BE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92164587" name="Grafik 1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4587" name="Grafik 1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3B1">
        <w:rPr>
          <w:sz w:val="20"/>
          <w:szCs w:val="20"/>
          <w:lang w:val="fr-FR"/>
        </w:rPr>
        <w:tab/>
      </w:r>
    </w:p>
    <w:p w14:paraId="267473B0" w14:textId="73A9EF8E" w:rsidR="002F6308" w:rsidRPr="004B034C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4FF0D1F" wp14:editId="0A9489B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832497213" name="Grafik 3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97213" name="Grafik 3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3B1">
        <w:rPr>
          <w:sz w:val="20"/>
          <w:szCs w:val="20"/>
          <w:lang w:val="fr-FR"/>
        </w:rPr>
        <w:tab/>
      </w:r>
      <w:r w:rsidRPr="0060465F">
        <w:rPr>
          <w:sz w:val="20"/>
          <w:szCs w:val="20"/>
        </w:rPr>
        <w:t>Unterhaching</w:t>
      </w:r>
      <w:r>
        <w:rPr>
          <w:sz w:val="20"/>
          <w:szCs w:val="20"/>
        </w:rPr>
        <w:t>;</w:t>
      </w:r>
      <w:r w:rsidRPr="004B034C">
        <w:rPr>
          <w:sz w:val="20"/>
          <w:szCs w:val="20"/>
        </w:rPr>
        <w:tab/>
      </w:r>
      <w:r w:rsidR="00AB53B1">
        <w:rPr>
          <w:sz w:val="20"/>
          <w:szCs w:val="20"/>
        </w:rPr>
        <w:t>12.11.2024</w:t>
      </w:r>
      <w:r>
        <w:rPr>
          <w:sz w:val="20"/>
          <w:szCs w:val="20"/>
        </w:rPr>
        <w:tab/>
      </w:r>
    </w:p>
    <w:p w14:paraId="5C86E341" w14:textId="77777777" w:rsidR="002F6308" w:rsidRPr="00205EE1" w:rsidRDefault="002F6308" w:rsidP="002F6308">
      <w:pPr>
        <w:ind w:left="142" w:hanging="142"/>
        <w:rPr>
          <w:sz w:val="20"/>
          <w:szCs w:val="20"/>
        </w:rPr>
      </w:pPr>
      <w:r w:rsidRPr="004B034C">
        <w:rPr>
          <w:sz w:val="20"/>
          <w:szCs w:val="20"/>
        </w:rPr>
        <w:tab/>
      </w:r>
      <w:r w:rsidRPr="00205EE1">
        <w:rPr>
          <w:sz w:val="20"/>
          <w:szCs w:val="20"/>
        </w:rPr>
        <w:t>…………………………….</w:t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  <w:t>…………………………..</w:t>
      </w:r>
    </w:p>
    <w:p w14:paraId="3DC916EB" w14:textId="4FCAC84A" w:rsidR="002F6308" w:rsidRPr="002F6308" w:rsidRDefault="002F6308" w:rsidP="002F6308">
      <w:pPr>
        <w:ind w:left="142" w:hanging="142"/>
        <w:rPr>
          <w:sz w:val="20"/>
          <w:szCs w:val="20"/>
        </w:rPr>
      </w:pPr>
      <w:r w:rsidRPr="00994895">
        <w:rPr>
          <w:sz w:val="20"/>
          <w:szCs w:val="20"/>
        </w:rPr>
        <w:tab/>
      </w:r>
      <w:r w:rsidRPr="00994895">
        <w:rPr>
          <w:sz w:val="20"/>
          <w:szCs w:val="20"/>
        </w:rPr>
        <w:tab/>
      </w:r>
      <w:r w:rsidRPr="002F6308">
        <w:rPr>
          <w:sz w:val="20"/>
          <w:szCs w:val="20"/>
        </w:rPr>
        <w:t>Ort &amp; Dat</w:t>
      </w:r>
      <w:r>
        <w:rPr>
          <w:sz w:val="20"/>
          <w:szCs w:val="20"/>
        </w:rPr>
        <w:t>um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 xml:space="preserve"> 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>i.A. Tobias Hansmann</w:t>
      </w:r>
    </w:p>
    <w:p w14:paraId="66811B32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412C1B70" w14:textId="28D8E240" w:rsidR="00834A51" w:rsidRDefault="00834A51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45DDEEC6" w14:textId="77777777" w:rsidR="006016D0" w:rsidRPr="00994895" w:rsidRDefault="006016D0" w:rsidP="00F4380E">
      <w:pPr>
        <w:rPr>
          <w:bCs/>
          <w:lang w:val="en-US"/>
        </w:rPr>
      </w:pPr>
    </w:p>
    <w:p w14:paraId="7803DF00" w14:textId="5AC95B0A" w:rsidR="00A16C8F" w:rsidRPr="004B034C" w:rsidRDefault="006016D0" w:rsidP="00A16C8F">
      <w:pPr>
        <w:jc w:val="center"/>
        <w:rPr>
          <w:b/>
          <w:sz w:val="24"/>
          <w:u w:val="single"/>
          <w:lang w:val="en-US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4604A7C" wp14:editId="64010451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4B034C">
        <w:rPr>
          <w:b/>
          <w:sz w:val="24"/>
          <w:u w:val="single"/>
          <w:lang w:val="en-US"/>
        </w:rPr>
        <w:t>EU Declaration of Conformity</w:t>
      </w:r>
    </w:p>
    <w:p w14:paraId="478EF6C4" w14:textId="77777777" w:rsidR="00A16C8F" w:rsidRPr="004B034C" w:rsidRDefault="00A16C8F" w:rsidP="00F4380E">
      <w:pPr>
        <w:rPr>
          <w:bCs/>
          <w:lang w:val="en-US"/>
        </w:rPr>
      </w:pPr>
    </w:p>
    <w:p w14:paraId="7BD9D47A" w14:textId="77777777" w:rsidR="00730CDD" w:rsidRPr="004B034C" w:rsidRDefault="00730CDD" w:rsidP="0032155D">
      <w:pPr>
        <w:rPr>
          <w:lang w:val="en-US"/>
        </w:rPr>
      </w:pPr>
    </w:p>
    <w:p w14:paraId="13844C36" w14:textId="77777777" w:rsidR="002F6308" w:rsidRPr="002F6308" w:rsidRDefault="0032155D" w:rsidP="002F6308">
      <w:pPr>
        <w:pStyle w:val="berschrift1"/>
        <w:ind w:left="2832" w:hanging="2832"/>
        <w:rPr>
          <w:lang w:val="en-US"/>
        </w:rPr>
      </w:pPr>
      <w:r w:rsidRPr="0032155D">
        <w:rPr>
          <w:lang w:val="en-US"/>
        </w:rPr>
        <w:t>We, the c</w:t>
      </w:r>
      <w:r>
        <w:rPr>
          <w:lang w:val="en-US"/>
        </w:rPr>
        <w:t>ompany</w:t>
      </w:r>
      <w:r w:rsidRPr="0032155D">
        <w:rPr>
          <w:b w:val="0"/>
          <w:lang w:val="en-US"/>
        </w:rPr>
        <w:tab/>
      </w:r>
      <w:r w:rsidR="002F6308" w:rsidRPr="00735DD4">
        <w:rPr>
          <w:noProof/>
          <w:color w:val="000000"/>
          <w:lang w:val="en-US" w:eastAsia="de-DE"/>
        </w:rPr>
        <w:t>XLayer GmbH</w:t>
      </w:r>
      <w:r w:rsidR="002F6308" w:rsidRPr="00735DD4">
        <w:rPr>
          <w:rFonts w:ascii="Verdana" w:hAnsi="Verdana"/>
          <w:noProof/>
          <w:color w:val="000000"/>
          <w:lang w:val="en-US" w:eastAsia="de-DE"/>
        </w:rPr>
        <w:t xml:space="preserve"> </w:t>
      </w:r>
    </w:p>
    <w:p w14:paraId="2DE0811A" w14:textId="556C6BAA" w:rsidR="0032155D" w:rsidRPr="002F6308" w:rsidRDefault="002F6308" w:rsidP="002F6308">
      <w:pPr>
        <w:pStyle w:val="berschrift1"/>
        <w:ind w:left="2832" w:hanging="2832"/>
        <w:rPr>
          <w:b w:val="0"/>
          <w:bCs w:val="0"/>
          <w:lang w:val="en-US"/>
        </w:rPr>
      </w:pPr>
      <w:r w:rsidRPr="002F6308">
        <w:rPr>
          <w:lang w:val="en-US"/>
        </w:rPr>
        <w:tab/>
      </w:r>
      <w:proofErr w:type="spellStart"/>
      <w:r w:rsidRPr="002F6308">
        <w:rPr>
          <w:b w:val="0"/>
          <w:bCs w:val="0"/>
          <w:lang w:val="en-US"/>
        </w:rPr>
        <w:t>Inselkammerstraße</w:t>
      </w:r>
      <w:proofErr w:type="spellEnd"/>
      <w:r w:rsidRPr="002F6308">
        <w:rPr>
          <w:b w:val="0"/>
          <w:bCs w:val="0"/>
          <w:lang w:val="en-US"/>
        </w:rPr>
        <w:t xml:space="preserve"> 2</w:t>
      </w:r>
      <w:r w:rsidRPr="002F6308">
        <w:rPr>
          <w:b w:val="0"/>
          <w:bCs w:val="0"/>
          <w:lang w:val="en-US"/>
        </w:rPr>
        <w:br/>
        <w:t xml:space="preserve">82008 </w:t>
      </w:r>
      <w:proofErr w:type="spellStart"/>
      <w:r w:rsidRPr="002F6308">
        <w:rPr>
          <w:b w:val="0"/>
          <w:bCs w:val="0"/>
          <w:lang w:val="en-US"/>
        </w:rPr>
        <w:t>Unterhaching</w:t>
      </w:r>
      <w:proofErr w:type="spellEnd"/>
      <w:r w:rsidRPr="002F6308">
        <w:rPr>
          <w:b w:val="0"/>
          <w:bCs w:val="0"/>
          <w:lang w:val="en-US"/>
        </w:rPr>
        <w:br/>
        <w:t>Germany</w:t>
      </w:r>
      <w:r w:rsidRPr="002F6308">
        <w:rPr>
          <w:b w:val="0"/>
          <w:bCs w:val="0"/>
          <w:lang w:val="en-US"/>
        </w:rPr>
        <w:tab/>
      </w:r>
    </w:p>
    <w:p w14:paraId="18C59C83" w14:textId="0A3ADAF7" w:rsidR="0032155D" w:rsidRPr="004B034C" w:rsidRDefault="0032155D" w:rsidP="0032155D">
      <w:pPr>
        <w:rPr>
          <w:sz w:val="20"/>
          <w:szCs w:val="20"/>
          <w:lang w:val="en-US"/>
        </w:rPr>
      </w:pPr>
    </w:p>
    <w:p w14:paraId="2C9EE8A2" w14:textId="77777777" w:rsidR="00730CDD" w:rsidRDefault="00527325" w:rsidP="00730CDD">
      <w:pPr>
        <w:ind w:left="708" w:firstLine="708"/>
        <w:rPr>
          <w:b/>
          <w:sz w:val="20"/>
          <w:szCs w:val="20"/>
          <w:lang w:val="en-US"/>
        </w:rPr>
      </w:pPr>
      <w:r w:rsidRPr="00527325">
        <w:rPr>
          <w:b/>
          <w:sz w:val="20"/>
          <w:szCs w:val="20"/>
          <w:lang w:val="en-US"/>
        </w:rPr>
        <w:t>declare under our sole r</w:t>
      </w:r>
      <w:r>
        <w:rPr>
          <w:b/>
          <w:sz w:val="20"/>
          <w:szCs w:val="20"/>
          <w:lang w:val="en-US"/>
        </w:rPr>
        <w:t>esponsibility that the following product</w:t>
      </w:r>
    </w:p>
    <w:p w14:paraId="7FA864DC" w14:textId="10D5BB7F" w:rsidR="0032155D" w:rsidRDefault="0032155D" w:rsidP="00730CDD">
      <w:pPr>
        <w:rPr>
          <w:sz w:val="20"/>
          <w:szCs w:val="20"/>
          <w:lang w:val="en-US"/>
        </w:rPr>
      </w:pPr>
    </w:p>
    <w:p w14:paraId="351DC5C2" w14:textId="77777777" w:rsidR="00730CDD" w:rsidRPr="00730CDD" w:rsidRDefault="00730CDD" w:rsidP="00730CDD">
      <w:pPr>
        <w:rPr>
          <w:b/>
          <w:sz w:val="20"/>
          <w:szCs w:val="20"/>
          <w:lang w:val="en-US"/>
        </w:rPr>
      </w:pPr>
    </w:p>
    <w:p w14:paraId="28127019" w14:textId="2C440F06" w:rsidR="006016D0" w:rsidRPr="002F6308" w:rsidRDefault="00CE7E7D" w:rsidP="006016D0">
      <w:pPr>
        <w:tabs>
          <w:tab w:val="left" w:pos="1418"/>
        </w:tabs>
        <w:rPr>
          <w:bCs/>
          <w:sz w:val="20"/>
          <w:szCs w:val="20"/>
          <w:lang w:val="en-US"/>
        </w:rPr>
      </w:pPr>
      <w:r w:rsidRPr="000C4477">
        <w:rPr>
          <w:sz w:val="20"/>
          <w:szCs w:val="20"/>
          <w:u w:val="single"/>
          <w:lang w:val="en-US"/>
        </w:rPr>
        <w:t>Product description:</w:t>
      </w:r>
      <w:r w:rsidR="007E45AD" w:rsidRPr="00B215CE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r w:rsidR="00AB53B1" w:rsidRPr="00AB53B1">
        <w:rPr>
          <w:sz w:val="20"/>
          <w:szCs w:val="20"/>
          <w:lang w:val="en-US"/>
        </w:rPr>
        <w:t xml:space="preserve">XLayer Powerbank Rapid 20.000 mAh </w:t>
      </w:r>
      <w:r w:rsidR="00AB53B1">
        <w:rPr>
          <w:sz w:val="20"/>
          <w:szCs w:val="20"/>
          <w:lang w:val="en-US"/>
        </w:rPr>
        <w:t>black</w:t>
      </w:r>
    </w:p>
    <w:p w14:paraId="5B1EE3B7" w14:textId="55283C5C" w:rsidR="000C4477" w:rsidRPr="00C34218" w:rsidRDefault="006016D0" w:rsidP="006016D0">
      <w:pPr>
        <w:autoSpaceDE w:val="0"/>
        <w:autoSpaceDN w:val="0"/>
        <w:adjustRightInd w:val="0"/>
        <w:rPr>
          <w:bCs/>
          <w:sz w:val="20"/>
          <w:szCs w:val="20"/>
          <w:lang w:val="en-US" w:eastAsia="de-DE"/>
        </w:rPr>
      </w:pPr>
      <w:r>
        <w:rPr>
          <w:bCs/>
          <w:sz w:val="20"/>
          <w:szCs w:val="20"/>
          <w:lang w:val="en-US" w:eastAsia="de-DE"/>
        </w:rPr>
        <w:tab/>
      </w:r>
    </w:p>
    <w:p w14:paraId="06E6E941" w14:textId="2BC003F8" w:rsidR="007E45AD" w:rsidRDefault="007E45AD" w:rsidP="00437891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val="en-US" w:eastAsia="de-DE"/>
        </w:rPr>
      </w:pPr>
      <w:r w:rsidRPr="000C4477">
        <w:rPr>
          <w:bCs/>
          <w:sz w:val="20"/>
          <w:szCs w:val="20"/>
          <w:u w:val="single"/>
          <w:lang w:val="en-US" w:eastAsia="de-DE"/>
        </w:rPr>
        <w:t>Item:</w:t>
      </w:r>
      <w:r w:rsidRPr="007E45AD">
        <w:rPr>
          <w:bCs/>
          <w:sz w:val="20"/>
          <w:szCs w:val="20"/>
          <w:lang w:val="en-US" w:eastAsia="de-DE"/>
        </w:rPr>
        <w:t xml:space="preserve">   </w:t>
      </w:r>
      <w:r w:rsidRPr="007E45AD">
        <w:rPr>
          <w:bCs/>
          <w:sz w:val="20"/>
          <w:szCs w:val="20"/>
          <w:lang w:val="en-US" w:eastAsia="de-DE"/>
        </w:rPr>
        <w:tab/>
      </w:r>
      <w:r w:rsidRPr="000C4477">
        <w:rPr>
          <w:bCs/>
          <w:sz w:val="20"/>
          <w:szCs w:val="20"/>
          <w:u w:val="single"/>
          <w:lang w:val="en-US" w:eastAsia="de-DE"/>
        </w:rPr>
        <w:t>EAN:</w:t>
      </w:r>
    </w:p>
    <w:p w14:paraId="638F25AC" w14:textId="77777777" w:rsidR="00FE2C7B" w:rsidRDefault="00FE2C7B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5A52722" w14:textId="5FD40642" w:rsidR="00616EEF" w:rsidRDefault="00AB53B1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  <w:r>
        <w:rPr>
          <w:sz w:val="20"/>
          <w:szCs w:val="20"/>
          <w:lang w:val="en-US" w:eastAsia="de-DE"/>
        </w:rPr>
        <w:t>220548</w:t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Pr="00AB53B1">
        <w:rPr>
          <w:sz w:val="20"/>
          <w:szCs w:val="20"/>
          <w:lang w:val="en-US" w:eastAsia="de-DE"/>
        </w:rPr>
        <w:t>4260458925034</w:t>
      </w:r>
    </w:p>
    <w:p w14:paraId="2BDAE931" w14:textId="77777777" w:rsidR="00703E68" w:rsidRDefault="00703E68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E3C792F" w14:textId="77777777" w:rsidR="006016D0" w:rsidRDefault="006016D0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4AC4A8D6" w14:textId="77777777" w:rsidR="00A16C8F" w:rsidRPr="00EC7366" w:rsidRDefault="00A16C8F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63BA964C" w14:textId="3AC0ED2E" w:rsidR="003B1AC2" w:rsidRDefault="00527325" w:rsidP="0032155D">
      <w:pPr>
        <w:jc w:val="center"/>
        <w:rPr>
          <w:rFonts w:eastAsia="DengXian"/>
          <w:b/>
          <w:sz w:val="20"/>
          <w:szCs w:val="20"/>
          <w:lang w:val="en-US" w:eastAsia="zh-CN"/>
        </w:rPr>
      </w:pPr>
      <w:r w:rsidRPr="00527325">
        <w:rPr>
          <w:rFonts w:eastAsia="DengXian"/>
          <w:b/>
          <w:sz w:val="20"/>
          <w:szCs w:val="20"/>
          <w:lang w:val="en-US" w:eastAsia="zh-CN"/>
        </w:rPr>
        <w:t>is fully in conformity w</w:t>
      </w:r>
      <w:r>
        <w:rPr>
          <w:rFonts w:eastAsia="DengXian"/>
          <w:b/>
          <w:sz w:val="20"/>
          <w:szCs w:val="20"/>
          <w:lang w:val="en-US" w:eastAsia="zh-CN"/>
        </w:rPr>
        <w:t>ith the essential requirements of the following directives</w:t>
      </w:r>
      <w:r w:rsidR="009A085C">
        <w:rPr>
          <w:rFonts w:eastAsia="DengXian"/>
          <w:b/>
          <w:sz w:val="20"/>
          <w:szCs w:val="20"/>
          <w:lang w:val="en-US" w:eastAsia="zh-CN"/>
        </w:rPr>
        <w:t>, regulations and standards.</w:t>
      </w:r>
    </w:p>
    <w:p w14:paraId="0824C6D7" w14:textId="77777777" w:rsidR="0023011C" w:rsidRDefault="0023011C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446F5069" w14:textId="77777777" w:rsidR="007236BE" w:rsidRDefault="007236BE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5B9DB118" w14:textId="77777777" w:rsidR="009A085C" w:rsidRPr="00205EE1" w:rsidRDefault="009A085C" w:rsidP="009A085C">
      <w:pPr>
        <w:rPr>
          <w:rFonts w:eastAsia="DengXian"/>
          <w:b/>
          <w:sz w:val="20"/>
          <w:szCs w:val="20"/>
          <w:lang w:val="en-US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A11A7CB" w14:textId="77777777" w:rsidTr="009603E7">
        <w:tc>
          <w:tcPr>
            <w:tcW w:w="9062" w:type="dxa"/>
          </w:tcPr>
          <w:p w14:paraId="4B9FBC8F" w14:textId="78CA2E73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Directives / Regulations</w:t>
            </w:r>
          </w:p>
        </w:tc>
      </w:tr>
      <w:tr w:rsidR="009A085C" w:rsidRPr="00AB53B1" w14:paraId="4E350036" w14:textId="77777777" w:rsidTr="009603E7">
        <w:tc>
          <w:tcPr>
            <w:tcW w:w="9062" w:type="dxa"/>
          </w:tcPr>
          <w:p w14:paraId="6BD0B75D" w14:textId="77777777" w:rsidR="00AF0C58" w:rsidRPr="00AB53B1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41175602" w14:textId="3F2E73B8" w:rsidR="00AF0C58" w:rsidRPr="00AB53B1" w:rsidRDefault="00085085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  <w:r w:rsidRPr="00AB53B1">
              <w:rPr>
                <w:sz w:val="20"/>
                <w:szCs w:val="20"/>
                <w:lang w:val="fr-FR"/>
              </w:rPr>
              <w:t>EMC</w:t>
            </w:r>
            <w:r w:rsidR="00AF0C58" w:rsidRPr="00AB53B1">
              <w:rPr>
                <w:sz w:val="20"/>
                <w:szCs w:val="20"/>
                <w:lang w:val="fr-FR"/>
              </w:rPr>
              <w:t>-</w:t>
            </w:r>
            <w:r w:rsidRPr="00AB53B1">
              <w:rPr>
                <w:sz w:val="20"/>
                <w:szCs w:val="20"/>
                <w:lang w:val="fr-FR"/>
              </w:rPr>
              <w:t>Directive</w:t>
            </w:r>
            <w:r w:rsidR="00AF0C58" w:rsidRPr="00AB53B1">
              <w:rPr>
                <w:sz w:val="20"/>
                <w:szCs w:val="20"/>
                <w:lang w:val="fr-FR"/>
              </w:rPr>
              <w:t xml:space="preserve"> 2014/30/EU</w:t>
            </w:r>
          </w:p>
          <w:p w14:paraId="374B61DE" w14:textId="77777777" w:rsidR="00AF0C58" w:rsidRPr="00AB53B1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61F66500" w14:textId="5AB03C66" w:rsidR="00AF0C58" w:rsidRPr="00AB53B1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  <w:r w:rsidRPr="00AB53B1">
              <w:rPr>
                <w:sz w:val="20"/>
                <w:szCs w:val="20"/>
                <w:lang w:val="fr-FR"/>
              </w:rPr>
              <w:t>Batter</w:t>
            </w:r>
            <w:r w:rsidR="003B22B7" w:rsidRPr="00AB53B1">
              <w:rPr>
                <w:sz w:val="20"/>
                <w:szCs w:val="20"/>
                <w:lang w:val="fr-FR"/>
              </w:rPr>
              <w:t>y</w:t>
            </w:r>
            <w:r w:rsidRPr="00AB53B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EA4EE6" w:rsidRPr="00AB53B1">
              <w:rPr>
                <w:sz w:val="20"/>
                <w:szCs w:val="20"/>
                <w:lang w:val="fr-FR"/>
              </w:rPr>
              <w:t>Regulation</w:t>
            </w:r>
            <w:proofErr w:type="spellEnd"/>
            <w:r w:rsidR="00EA4EE6" w:rsidRPr="00AB53B1">
              <w:rPr>
                <w:sz w:val="20"/>
                <w:szCs w:val="20"/>
                <w:lang w:val="fr-FR"/>
              </w:rPr>
              <w:t xml:space="preserve"> </w:t>
            </w:r>
            <w:r w:rsidRPr="00AB53B1">
              <w:rPr>
                <w:sz w:val="20"/>
                <w:szCs w:val="20"/>
                <w:lang w:val="fr-FR"/>
              </w:rPr>
              <w:t>(EU) 2023/1542</w:t>
            </w:r>
          </w:p>
          <w:p w14:paraId="448DABA8" w14:textId="77777777" w:rsidR="00AF0C58" w:rsidRPr="00AB53B1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09FF3323" w14:textId="2753E395" w:rsidR="00AF0C58" w:rsidRPr="00AB53B1" w:rsidRDefault="00AF0C58" w:rsidP="00AF0C58">
            <w:pPr>
              <w:rPr>
                <w:sz w:val="20"/>
                <w:szCs w:val="20"/>
                <w:lang w:val="fr-FR"/>
              </w:rPr>
            </w:pPr>
            <w:r w:rsidRPr="00AB53B1">
              <w:rPr>
                <w:sz w:val="20"/>
                <w:szCs w:val="20"/>
                <w:lang w:val="fr-FR"/>
              </w:rPr>
              <w:t>RoHS-</w:t>
            </w:r>
            <w:r w:rsidR="0051306B" w:rsidRPr="00AB53B1">
              <w:rPr>
                <w:sz w:val="20"/>
                <w:szCs w:val="20"/>
                <w:lang w:val="fr-FR"/>
              </w:rPr>
              <w:t>Directive</w:t>
            </w:r>
            <w:r w:rsidRPr="00AB53B1">
              <w:rPr>
                <w:sz w:val="20"/>
                <w:szCs w:val="20"/>
                <w:lang w:val="fr-FR"/>
              </w:rPr>
              <w:t xml:space="preserve"> 2011/65/EU </w:t>
            </w:r>
            <w:proofErr w:type="spellStart"/>
            <w:r w:rsidRPr="00AB53B1">
              <w:rPr>
                <w:sz w:val="20"/>
                <w:szCs w:val="20"/>
                <w:lang w:val="fr-FR"/>
              </w:rPr>
              <w:t>und</w:t>
            </w:r>
            <w:proofErr w:type="spellEnd"/>
            <w:r w:rsidRPr="00AB53B1">
              <w:rPr>
                <w:sz w:val="20"/>
                <w:szCs w:val="20"/>
                <w:lang w:val="fr-FR"/>
              </w:rPr>
              <w:t xml:space="preserve"> (EU) 2015/863</w:t>
            </w:r>
          </w:p>
          <w:p w14:paraId="181DE709" w14:textId="77777777" w:rsidR="009A085C" w:rsidRPr="00AB53B1" w:rsidRDefault="009A085C" w:rsidP="00834A51">
            <w:pPr>
              <w:tabs>
                <w:tab w:val="left" w:pos="4704"/>
              </w:tabs>
              <w:rPr>
                <w:rFonts w:eastAsia="DengXian"/>
                <w:b/>
                <w:sz w:val="20"/>
                <w:szCs w:val="20"/>
                <w:lang w:val="fr-FR" w:eastAsia="zh-CN"/>
              </w:rPr>
            </w:pPr>
          </w:p>
        </w:tc>
      </w:tr>
    </w:tbl>
    <w:p w14:paraId="6255FD71" w14:textId="77777777" w:rsidR="009A085C" w:rsidRPr="00AB53B1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p w14:paraId="17E8D27D" w14:textId="77777777" w:rsidR="009A085C" w:rsidRPr="00AB53B1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p w14:paraId="59DFB13E" w14:textId="77777777" w:rsidR="009A085C" w:rsidRPr="00AB53B1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024B1D43" w14:textId="77777777" w:rsidTr="009603E7">
        <w:tc>
          <w:tcPr>
            <w:tcW w:w="9062" w:type="dxa"/>
          </w:tcPr>
          <w:p w14:paraId="759F7B53" w14:textId="4973B1F0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Standards</w:t>
            </w:r>
          </w:p>
        </w:tc>
      </w:tr>
      <w:tr w:rsidR="009A085C" w:rsidRPr="00205EE1" w14:paraId="038F74F8" w14:textId="77777777" w:rsidTr="009603E7">
        <w:tc>
          <w:tcPr>
            <w:tcW w:w="9062" w:type="dxa"/>
          </w:tcPr>
          <w:p w14:paraId="17AA56F2" w14:textId="77777777" w:rsidR="00AB53B1" w:rsidRDefault="00AB53B1" w:rsidP="00AB53B1">
            <w:pPr>
              <w:rPr>
                <w:rFonts w:ascii="Arial Regular" w:eastAsia="DengXian" w:hAnsi="Arial Regular" w:cs="Arial Regular"/>
                <w:sz w:val="20"/>
                <w:szCs w:val="20"/>
                <w:lang w:val="fr-FR"/>
              </w:rPr>
            </w:pPr>
          </w:p>
          <w:p w14:paraId="0F79B772" w14:textId="3AD4FAE8" w:rsidR="00AB53B1" w:rsidRDefault="00AB53B1" w:rsidP="00AB53B1">
            <w:pPr>
              <w:rPr>
                <w:rFonts w:ascii="Arial Regular" w:eastAsia="DengXian" w:hAnsi="Arial Regular" w:cs="Arial Regular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EN 55032:2015+A11:2020+ A1:2020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55035:2017+ A11:2020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/>
              </w:rPr>
              <w:t xml:space="preserve"> 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IEC 61000-3-2:2019+A1:2021+A2:2024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61000-3-3:2013 +A1:2019 +A2:2021</w:t>
            </w:r>
          </w:p>
          <w:p w14:paraId="4B7F4E87" w14:textId="77777777" w:rsidR="00AB53B1" w:rsidRPr="00AB53B1" w:rsidRDefault="00AB53B1" w:rsidP="00AB53B1">
            <w:pPr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EN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IEC 62368-1:2020+A11:2020</w:t>
            </w:r>
          </w:p>
          <w:p w14:paraId="6DF48122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 xml:space="preserve"> 62321-3-1:2013</w:t>
            </w:r>
          </w:p>
          <w:p w14:paraId="580AEB5D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62321-5:2013</w:t>
            </w:r>
          </w:p>
          <w:p w14:paraId="35F42BEC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62321-4:201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3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+A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1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: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2017</w:t>
            </w:r>
          </w:p>
          <w:p w14:paraId="7345CE1B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62321-7-1:2015</w:t>
            </w:r>
          </w:p>
          <w:p w14:paraId="5800C5B0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62321-7-2:2017</w:t>
            </w:r>
          </w:p>
          <w:p w14:paraId="30ACCFB9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62321-6:2015</w:t>
            </w:r>
          </w:p>
          <w:p w14:paraId="70A9BD6D" w14:textId="77777777" w:rsidR="00AB53B1" w:rsidRDefault="00AB53B1" w:rsidP="00AB53B1">
            <w:pPr>
              <w:rPr>
                <w:rFonts w:ascii="Arial Regular" w:eastAsia="DengXian" w:hAnsi="Arial Regular" w:cs="Arial Regular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>lEC</w:t>
            </w:r>
            <w:proofErr w:type="spellEnd"/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 xml:space="preserve"> 62321-8: 2017</w:t>
            </w:r>
          </w:p>
          <w:p w14:paraId="6CAB52AC" w14:textId="13F740B2" w:rsidR="009A085C" w:rsidRPr="009A085C" w:rsidRDefault="009A085C" w:rsidP="009603E7">
            <w:pPr>
              <w:rPr>
                <w:rFonts w:eastAsia="DengXian"/>
                <w:b/>
                <w:sz w:val="20"/>
                <w:szCs w:val="20"/>
                <w:lang w:val="en-US" w:eastAsia="zh-CN"/>
              </w:rPr>
            </w:pPr>
          </w:p>
        </w:tc>
      </w:tr>
    </w:tbl>
    <w:p w14:paraId="051B7B23" w14:textId="77777777" w:rsidR="00FE2C7B" w:rsidRPr="009A085C" w:rsidRDefault="00FE2C7B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0A4F91E9" w14:textId="77777777" w:rsidR="00FE2C7B" w:rsidRPr="009A085C" w:rsidRDefault="00FE2C7B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299D40DB" w14:textId="77777777" w:rsidR="00A16C8F" w:rsidRPr="009A085C" w:rsidRDefault="00A16C8F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2199F60C" w14:textId="738302B1" w:rsidR="002F6308" w:rsidRPr="009A085C" w:rsidRDefault="002F6308" w:rsidP="007236BE">
      <w:pPr>
        <w:rPr>
          <w:sz w:val="20"/>
          <w:szCs w:val="20"/>
          <w:lang w:val="en-US"/>
        </w:rPr>
      </w:pPr>
    </w:p>
    <w:p w14:paraId="30FE3C0C" w14:textId="4FD0C36C" w:rsidR="002F6308" w:rsidRPr="009A085C" w:rsidRDefault="002F6308" w:rsidP="007236BE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17B75B5" wp14:editId="1184CF54">
            <wp:simplePos x="0" y="0"/>
            <wp:positionH relativeFrom="column">
              <wp:posOffset>3606800</wp:posOffset>
            </wp:positionH>
            <wp:positionV relativeFrom="paragraph">
              <wp:posOffset>133985</wp:posOffset>
            </wp:positionV>
            <wp:extent cx="2524125" cy="647700"/>
            <wp:effectExtent l="0" t="0" r="9525" b="0"/>
            <wp:wrapNone/>
            <wp:docPr id="563051139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DFEC9E" w14:textId="3BE8FA16" w:rsidR="002F6308" w:rsidRPr="009A085C" w:rsidRDefault="002F6308" w:rsidP="007236BE">
      <w:pPr>
        <w:rPr>
          <w:sz w:val="20"/>
          <w:szCs w:val="20"/>
          <w:lang w:val="en-US"/>
        </w:rPr>
      </w:pPr>
    </w:p>
    <w:p w14:paraId="3C6C3B22" w14:textId="77777777" w:rsidR="002F6308" w:rsidRPr="009A085C" w:rsidRDefault="002F6308" w:rsidP="007236BE">
      <w:pPr>
        <w:rPr>
          <w:sz w:val="20"/>
          <w:szCs w:val="20"/>
          <w:lang w:val="en-US"/>
        </w:rPr>
      </w:pPr>
    </w:p>
    <w:p w14:paraId="68E59F54" w14:textId="1461304E" w:rsidR="006016D0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24B54" wp14:editId="2B98FF4F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858307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124B54" wp14:editId="0B8FED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6654593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0562E5B7" w14:textId="1366118D" w:rsidR="0032155D" w:rsidRPr="00205EE1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D124B54" wp14:editId="16E5DE5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21379020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9A085C">
        <w:rPr>
          <w:sz w:val="20"/>
          <w:szCs w:val="20"/>
          <w:lang w:val="en-US"/>
        </w:rPr>
        <w:tab/>
      </w:r>
      <w:proofErr w:type="spellStart"/>
      <w:r w:rsidRPr="00205EE1">
        <w:rPr>
          <w:sz w:val="20"/>
          <w:szCs w:val="20"/>
          <w:lang w:val="en-US"/>
        </w:rPr>
        <w:t>Unterhaching</w:t>
      </w:r>
      <w:proofErr w:type="spellEnd"/>
      <w:r w:rsidRPr="00205EE1">
        <w:rPr>
          <w:sz w:val="20"/>
          <w:szCs w:val="20"/>
          <w:lang w:val="en-US"/>
        </w:rPr>
        <w:t>;</w:t>
      </w:r>
      <w:r w:rsidR="0032155D" w:rsidRPr="00205EE1">
        <w:rPr>
          <w:sz w:val="20"/>
          <w:szCs w:val="20"/>
          <w:lang w:val="en-US"/>
        </w:rPr>
        <w:tab/>
      </w:r>
      <w:r w:rsidR="00AB53B1">
        <w:rPr>
          <w:sz w:val="20"/>
          <w:szCs w:val="20"/>
          <w:lang w:val="en-US"/>
        </w:rPr>
        <w:t>12.11.2024</w:t>
      </w:r>
      <w:r w:rsidRPr="00205EE1">
        <w:rPr>
          <w:sz w:val="20"/>
          <w:szCs w:val="20"/>
          <w:lang w:val="en-US"/>
        </w:rPr>
        <w:tab/>
      </w:r>
    </w:p>
    <w:p w14:paraId="3E13475E" w14:textId="77777777" w:rsidR="0032155D" w:rsidRPr="00665965" w:rsidRDefault="0032155D" w:rsidP="0032155D">
      <w:pPr>
        <w:ind w:left="142" w:hanging="142"/>
        <w:rPr>
          <w:sz w:val="20"/>
          <w:szCs w:val="20"/>
          <w:lang w:val="en-US"/>
        </w:rPr>
      </w:pPr>
      <w:r w:rsidRPr="00205EE1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>…………………………….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>…………………………..</w:t>
      </w:r>
    </w:p>
    <w:p w14:paraId="3E3FF313" w14:textId="77777777" w:rsidR="002F6308" w:rsidRDefault="0032155D" w:rsidP="002F6308">
      <w:pPr>
        <w:ind w:left="142" w:hanging="142"/>
        <w:rPr>
          <w:sz w:val="20"/>
          <w:szCs w:val="20"/>
          <w:lang w:val="en-US"/>
        </w:rPr>
      </w:pP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527325" w:rsidRPr="00665965">
        <w:rPr>
          <w:sz w:val="20"/>
          <w:szCs w:val="20"/>
          <w:lang w:val="en-US"/>
        </w:rPr>
        <w:t>Place &amp; Date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 xml:space="preserve"> 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proofErr w:type="spellStart"/>
      <w:r w:rsidR="002F6308" w:rsidRPr="00F55809">
        <w:rPr>
          <w:sz w:val="20"/>
          <w:szCs w:val="20"/>
          <w:lang w:val="en-US"/>
        </w:rPr>
        <w:t>i.A</w:t>
      </w:r>
      <w:r w:rsidR="002F6308">
        <w:rPr>
          <w:sz w:val="20"/>
          <w:szCs w:val="20"/>
          <w:lang w:val="en-US"/>
        </w:rPr>
        <w:t>.</w:t>
      </w:r>
      <w:proofErr w:type="spellEnd"/>
      <w:r w:rsidR="002F6308">
        <w:rPr>
          <w:sz w:val="20"/>
          <w:szCs w:val="20"/>
          <w:lang w:val="en-US"/>
        </w:rPr>
        <w:t xml:space="preserve"> Tobias Hansmann</w:t>
      </w:r>
    </w:p>
    <w:p w14:paraId="365D0176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20ECEB64" w14:textId="77777777" w:rsidR="009A085C" w:rsidRPr="00AB53B1" w:rsidRDefault="009A085C" w:rsidP="002F6308">
      <w:pPr>
        <w:rPr>
          <w:sz w:val="20"/>
          <w:szCs w:val="20"/>
          <w:lang w:val="en-US"/>
        </w:rPr>
      </w:pPr>
    </w:p>
    <w:p w14:paraId="28954810" w14:textId="77777777" w:rsidR="009A085C" w:rsidRPr="00AB53B1" w:rsidRDefault="009A085C" w:rsidP="002F6308">
      <w:pPr>
        <w:rPr>
          <w:sz w:val="20"/>
          <w:szCs w:val="20"/>
          <w:lang w:val="en-US"/>
        </w:rPr>
      </w:pPr>
    </w:p>
    <w:sectPr w:rsidR="009A085C" w:rsidRPr="00AB53B1" w:rsidSect="00A108FE">
      <w:pgSz w:w="11906" w:h="16838"/>
      <w:pgMar w:top="993" w:right="1417" w:bottom="709" w:left="1417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Regular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8F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386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W:\COBRA\PLUS8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AD5122"/>
    <w:rsid w:val="00000868"/>
    <w:rsid w:val="00002859"/>
    <w:rsid w:val="00044517"/>
    <w:rsid w:val="0005691D"/>
    <w:rsid w:val="00085085"/>
    <w:rsid w:val="0008592F"/>
    <w:rsid w:val="00094BE3"/>
    <w:rsid w:val="000B2BFD"/>
    <w:rsid w:val="000C4477"/>
    <w:rsid w:val="000C52B4"/>
    <w:rsid w:val="000C5851"/>
    <w:rsid w:val="000D5E48"/>
    <w:rsid w:val="00111B47"/>
    <w:rsid w:val="0011388F"/>
    <w:rsid w:val="001257C8"/>
    <w:rsid w:val="0013344B"/>
    <w:rsid w:val="00145E92"/>
    <w:rsid w:val="00157A8B"/>
    <w:rsid w:val="00157FBB"/>
    <w:rsid w:val="00175BBF"/>
    <w:rsid w:val="00176E74"/>
    <w:rsid w:val="001824DB"/>
    <w:rsid w:val="001A529D"/>
    <w:rsid w:val="001B5DB6"/>
    <w:rsid w:val="001C6EE6"/>
    <w:rsid w:val="001D0C7F"/>
    <w:rsid w:val="001F1078"/>
    <w:rsid w:val="001F3634"/>
    <w:rsid w:val="00205EE1"/>
    <w:rsid w:val="0021006C"/>
    <w:rsid w:val="00214B83"/>
    <w:rsid w:val="00224464"/>
    <w:rsid w:val="0023011C"/>
    <w:rsid w:val="002506DD"/>
    <w:rsid w:val="00256B1A"/>
    <w:rsid w:val="00265D6C"/>
    <w:rsid w:val="00267254"/>
    <w:rsid w:val="002730EF"/>
    <w:rsid w:val="00276710"/>
    <w:rsid w:val="002A1D8B"/>
    <w:rsid w:val="002A3438"/>
    <w:rsid w:val="002A4A9B"/>
    <w:rsid w:val="002B708E"/>
    <w:rsid w:val="002C2150"/>
    <w:rsid w:val="002C305B"/>
    <w:rsid w:val="002C30D9"/>
    <w:rsid w:val="002D3EEF"/>
    <w:rsid w:val="002D6BEE"/>
    <w:rsid w:val="002F36E3"/>
    <w:rsid w:val="002F6308"/>
    <w:rsid w:val="0031237A"/>
    <w:rsid w:val="0032155D"/>
    <w:rsid w:val="00321CC4"/>
    <w:rsid w:val="00330A5A"/>
    <w:rsid w:val="0034735A"/>
    <w:rsid w:val="00353D30"/>
    <w:rsid w:val="00367D2C"/>
    <w:rsid w:val="003924DF"/>
    <w:rsid w:val="003A1BF6"/>
    <w:rsid w:val="003A661D"/>
    <w:rsid w:val="003B1AC2"/>
    <w:rsid w:val="003B22B7"/>
    <w:rsid w:val="003D3FB8"/>
    <w:rsid w:val="003E138D"/>
    <w:rsid w:val="003F0AB8"/>
    <w:rsid w:val="003F5D64"/>
    <w:rsid w:val="00401637"/>
    <w:rsid w:val="00411C14"/>
    <w:rsid w:val="00413EC5"/>
    <w:rsid w:val="00437891"/>
    <w:rsid w:val="004420E4"/>
    <w:rsid w:val="00454222"/>
    <w:rsid w:val="004A6A68"/>
    <w:rsid w:val="004B034C"/>
    <w:rsid w:val="004B0E30"/>
    <w:rsid w:val="004F4700"/>
    <w:rsid w:val="0050498C"/>
    <w:rsid w:val="0051306B"/>
    <w:rsid w:val="00523F1A"/>
    <w:rsid w:val="00527325"/>
    <w:rsid w:val="0054215F"/>
    <w:rsid w:val="00557F76"/>
    <w:rsid w:val="005674D4"/>
    <w:rsid w:val="00573211"/>
    <w:rsid w:val="005841AB"/>
    <w:rsid w:val="005A3445"/>
    <w:rsid w:val="005B5B7F"/>
    <w:rsid w:val="005D2378"/>
    <w:rsid w:val="005E774D"/>
    <w:rsid w:val="006016D0"/>
    <w:rsid w:val="0060465F"/>
    <w:rsid w:val="00616EEF"/>
    <w:rsid w:val="00653784"/>
    <w:rsid w:val="00665965"/>
    <w:rsid w:val="006659F1"/>
    <w:rsid w:val="006835B5"/>
    <w:rsid w:val="00683637"/>
    <w:rsid w:val="0069263E"/>
    <w:rsid w:val="006A6145"/>
    <w:rsid w:val="006A78CC"/>
    <w:rsid w:val="006B2EAC"/>
    <w:rsid w:val="006C6D5D"/>
    <w:rsid w:val="006E241B"/>
    <w:rsid w:val="006E40B7"/>
    <w:rsid w:val="006E67F1"/>
    <w:rsid w:val="00703E68"/>
    <w:rsid w:val="007047C8"/>
    <w:rsid w:val="007236BE"/>
    <w:rsid w:val="00730CDD"/>
    <w:rsid w:val="00735DD4"/>
    <w:rsid w:val="00776952"/>
    <w:rsid w:val="00791F34"/>
    <w:rsid w:val="00794AAF"/>
    <w:rsid w:val="007B3D53"/>
    <w:rsid w:val="007D3595"/>
    <w:rsid w:val="007D46B3"/>
    <w:rsid w:val="007E1447"/>
    <w:rsid w:val="007E45AD"/>
    <w:rsid w:val="007F4CF7"/>
    <w:rsid w:val="00801AD5"/>
    <w:rsid w:val="00803F7C"/>
    <w:rsid w:val="008104DA"/>
    <w:rsid w:val="008178D5"/>
    <w:rsid w:val="00817B3B"/>
    <w:rsid w:val="00820CE2"/>
    <w:rsid w:val="00822BC6"/>
    <w:rsid w:val="0083310E"/>
    <w:rsid w:val="00834A51"/>
    <w:rsid w:val="00857E4F"/>
    <w:rsid w:val="00873074"/>
    <w:rsid w:val="00877293"/>
    <w:rsid w:val="0088682C"/>
    <w:rsid w:val="008927E3"/>
    <w:rsid w:val="00893FFA"/>
    <w:rsid w:val="008A49E0"/>
    <w:rsid w:val="008A634A"/>
    <w:rsid w:val="008B1977"/>
    <w:rsid w:val="008E1276"/>
    <w:rsid w:val="008E35C9"/>
    <w:rsid w:val="00920040"/>
    <w:rsid w:val="009267C1"/>
    <w:rsid w:val="00935DE9"/>
    <w:rsid w:val="00937593"/>
    <w:rsid w:val="00941309"/>
    <w:rsid w:val="0098712C"/>
    <w:rsid w:val="00994895"/>
    <w:rsid w:val="009A085C"/>
    <w:rsid w:val="009A50DA"/>
    <w:rsid w:val="009D2211"/>
    <w:rsid w:val="00A108FE"/>
    <w:rsid w:val="00A16C8F"/>
    <w:rsid w:val="00A31A13"/>
    <w:rsid w:val="00A330B2"/>
    <w:rsid w:val="00A501BC"/>
    <w:rsid w:val="00A659D7"/>
    <w:rsid w:val="00A66C92"/>
    <w:rsid w:val="00A94BFB"/>
    <w:rsid w:val="00AA3846"/>
    <w:rsid w:val="00AB53B1"/>
    <w:rsid w:val="00AC2835"/>
    <w:rsid w:val="00AC5871"/>
    <w:rsid w:val="00AC678A"/>
    <w:rsid w:val="00AD4C07"/>
    <w:rsid w:val="00AD5122"/>
    <w:rsid w:val="00AE6739"/>
    <w:rsid w:val="00AF0C58"/>
    <w:rsid w:val="00AF5BF0"/>
    <w:rsid w:val="00AF642F"/>
    <w:rsid w:val="00B00D5A"/>
    <w:rsid w:val="00B215CE"/>
    <w:rsid w:val="00B26045"/>
    <w:rsid w:val="00B34DA4"/>
    <w:rsid w:val="00B35C7B"/>
    <w:rsid w:val="00B425E7"/>
    <w:rsid w:val="00B54FD8"/>
    <w:rsid w:val="00B70056"/>
    <w:rsid w:val="00B91E77"/>
    <w:rsid w:val="00B95665"/>
    <w:rsid w:val="00BC1B9E"/>
    <w:rsid w:val="00BD69D2"/>
    <w:rsid w:val="00BE54D0"/>
    <w:rsid w:val="00BE7780"/>
    <w:rsid w:val="00BE78B4"/>
    <w:rsid w:val="00BF29C4"/>
    <w:rsid w:val="00C05607"/>
    <w:rsid w:val="00C34218"/>
    <w:rsid w:val="00C37F6D"/>
    <w:rsid w:val="00C6055B"/>
    <w:rsid w:val="00C62BCA"/>
    <w:rsid w:val="00C65AC1"/>
    <w:rsid w:val="00C66070"/>
    <w:rsid w:val="00C67F24"/>
    <w:rsid w:val="00C77A84"/>
    <w:rsid w:val="00C8616C"/>
    <w:rsid w:val="00C910E8"/>
    <w:rsid w:val="00C9283D"/>
    <w:rsid w:val="00C955D4"/>
    <w:rsid w:val="00CA01D0"/>
    <w:rsid w:val="00CA14A0"/>
    <w:rsid w:val="00CA6879"/>
    <w:rsid w:val="00CB7D25"/>
    <w:rsid w:val="00CE6039"/>
    <w:rsid w:val="00CE7E7D"/>
    <w:rsid w:val="00CF6F44"/>
    <w:rsid w:val="00D04927"/>
    <w:rsid w:val="00D07EFF"/>
    <w:rsid w:val="00D66EBD"/>
    <w:rsid w:val="00DB7E10"/>
    <w:rsid w:val="00DD1029"/>
    <w:rsid w:val="00DD3326"/>
    <w:rsid w:val="00E03798"/>
    <w:rsid w:val="00E04441"/>
    <w:rsid w:val="00E13783"/>
    <w:rsid w:val="00E34286"/>
    <w:rsid w:val="00E562DF"/>
    <w:rsid w:val="00E61321"/>
    <w:rsid w:val="00E679D3"/>
    <w:rsid w:val="00E7012D"/>
    <w:rsid w:val="00E75BDB"/>
    <w:rsid w:val="00E75C2C"/>
    <w:rsid w:val="00E84143"/>
    <w:rsid w:val="00E965DA"/>
    <w:rsid w:val="00EA4EE6"/>
    <w:rsid w:val="00EA4EEB"/>
    <w:rsid w:val="00EC7366"/>
    <w:rsid w:val="00ED4197"/>
    <w:rsid w:val="00EE577D"/>
    <w:rsid w:val="00F06A40"/>
    <w:rsid w:val="00F151AD"/>
    <w:rsid w:val="00F20EC6"/>
    <w:rsid w:val="00F2397E"/>
    <w:rsid w:val="00F24A57"/>
    <w:rsid w:val="00F34A5C"/>
    <w:rsid w:val="00F35807"/>
    <w:rsid w:val="00F427D4"/>
    <w:rsid w:val="00F4380E"/>
    <w:rsid w:val="00F51111"/>
    <w:rsid w:val="00F66935"/>
    <w:rsid w:val="00F87BF2"/>
    <w:rsid w:val="00F900D3"/>
    <w:rsid w:val="00FD2EC6"/>
    <w:rsid w:val="00FE2C7B"/>
    <w:rsid w:val="00FE5C92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AF659"/>
  <w15:chartTrackingRefBased/>
  <w15:docId w15:val="{9A0F8994-BEDE-447F-9FB1-1ED96DC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ja-JP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ind w:left="284" w:hanging="284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MAdress">
    <w:name w:val="TMAdress"/>
    <w:basedOn w:val="Standard"/>
    <w:pPr>
      <w:spacing w:before="40" w:after="40"/>
    </w:pPr>
    <w:rPr>
      <w:sz w:val="20"/>
      <w:szCs w:val="20"/>
    </w:rPr>
  </w:style>
  <w:style w:type="paragraph" w:customStyle="1" w:styleId="TMOfferNumber">
    <w:name w:val="TMOfferNumber"/>
    <w:basedOn w:val="Standard"/>
    <w:pPr>
      <w:spacing w:before="40" w:after="40"/>
    </w:pPr>
    <w:rPr>
      <w:sz w:val="20"/>
      <w:szCs w:val="20"/>
    </w:rPr>
  </w:style>
  <w:style w:type="paragraph" w:customStyle="1" w:styleId="TMKst1">
    <w:name w:val="TMKst1"/>
    <w:basedOn w:val="Standard"/>
    <w:pPr>
      <w:spacing w:before="40" w:after="40"/>
    </w:pPr>
    <w:rPr>
      <w:sz w:val="20"/>
      <w:szCs w:val="20"/>
    </w:rPr>
  </w:style>
  <w:style w:type="paragraph" w:customStyle="1" w:styleId="TMProduct">
    <w:name w:val="TMProduct"/>
    <w:basedOn w:val="Standard"/>
    <w:pPr>
      <w:spacing w:before="40" w:after="40"/>
    </w:pPr>
    <w:rPr>
      <w:sz w:val="20"/>
      <w:szCs w:val="20"/>
    </w:rPr>
  </w:style>
  <w:style w:type="paragraph" w:customStyle="1" w:styleId="TMUName">
    <w:name w:val="TMUName"/>
    <w:basedOn w:val="Standard"/>
    <w:pPr>
      <w:spacing w:before="40" w:after="40"/>
    </w:pPr>
    <w:rPr>
      <w:sz w:val="20"/>
      <w:szCs w:val="20"/>
    </w:rPr>
  </w:style>
  <w:style w:type="paragraph" w:customStyle="1" w:styleId="TMUPhone">
    <w:name w:val="TMUPhone"/>
    <w:basedOn w:val="Standard"/>
    <w:pPr>
      <w:spacing w:before="40" w:after="40"/>
    </w:pPr>
    <w:rPr>
      <w:sz w:val="20"/>
      <w:szCs w:val="20"/>
    </w:rPr>
  </w:style>
  <w:style w:type="paragraph" w:customStyle="1" w:styleId="TMUFax">
    <w:name w:val="TMUFax"/>
    <w:basedOn w:val="Standard"/>
    <w:pPr>
      <w:spacing w:before="40" w:after="40"/>
    </w:pPr>
    <w:rPr>
      <w:sz w:val="20"/>
      <w:szCs w:val="20"/>
    </w:rPr>
  </w:style>
  <w:style w:type="paragraph" w:customStyle="1" w:styleId="TMUMail">
    <w:name w:val="TMUMail"/>
    <w:basedOn w:val="Standard"/>
    <w:pPr>
      <w:spacing w:before="40" w:after="40"/>
    </w:pPr>
    <w:rPr>
      <w:sz w:val="20"/>
      <w:szCs w:val="20"/>
    </w:rPr>
  </w:style>
  <w:style w:type="paragraph" w:customStyle="1" w:styleId="TMCity">
    <w:name w:val="TMCit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SenderDepartment">
    <w:name w:val="TMSenderDepartment"/>
    <w:basedOn w:val="Standard"/>
    <w:pPr>
      <w:spacing w:before="40" w:after="40"/>
    </w:pPr>
    <w:rPr>
      <w:sz w:val="20"/>
      <w:szCs w:val="20"/>
    </w:rPr>
  </w:style>
  <w:style w:type="paragraph" w:customStyle="1" w:styleId="TMAddrCompanyName">
    <w:name w:val="TMAddrCompany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CompanyAdditional">
    <w:name w:val="TMAddrCompanyAdditional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Street">
    <w:name w:val="TMAddrStreet"/>
    <w:basedOn w:val="Standard"/>
    <w:pPr>
      <w:spacing w:before="40" w:after="40"/>
    </w:pPr>
    <w:rPr>
      <w:sz w:val="20"/>
      <w:szCs w:val="20"/>
    </w:rPr>
  </w:style>
  <w:style w:type="paragraph" w:customStyle="1" w:styleId="TMAddrZip">
    <w:name w:val="TMAddrZip"/>
    <w:basedOn w:val="Standard"/>
    <w:pPr>
      <w:spacing w:before="40" w:after="40"/>
    </w:pPr>
    <w:rPr>
      <w:sz w:val="20"/>
      <w:szCs w:val="20"/>
    </w:rPr>
  </w:style>
  <w:style w:type="paragraph" w:customStyle="1" w:styleId="TMAddrCity">
    <w:name w:val="TMAddrCity"/>
    <w:basedOn w:val="Standard"/>
    <w:pPr>
      <w:spacing w:before="40" w:after="40"/>
    </w:pPr>
    <w:rPr>
      <w:sz w:val="20"/>
      <w:szCs w:val="20"/>
    </w:rPr>
  </w:style>
  <w:style w:type="paragraph" w:customStyle="1" w:styleId="TMAddrCountry">
    <w:name w:val="TMAddrCountr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Phone">
    <w:name w:val="TMAddrPhon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ax">
    <w:name w:val="TMAddrFax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irstName">
    <w:name w:val="TMAddrFirst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LastName">
    <w:name w:val="TMAddrLastName"/>
    <w:basedOn w:val="Standard"/>
    <w:pPr>
      <w:spacing w:before="40" w:after="40"/>
    </w:pPr>
    <w:rPr>
      <w:sz w:val="20"/>
      <w:szCs w:val="20"/>
    </w:rPr>
  </w:style>
  <w:style w:type="paragraph" w:customStyle="1" w:styleId="TMAddrSex">
    <w:name w:val="TMAddrSex"/>
    <w:basedOn w:val="Standard"/>
    <w:pPr>
      <w:spacing w:before="40" w:after="40"/>
    </w:pPr>
    <w:rPr>
      <w:sz w:val="20"/>
      <w:szCs w:val="20"/>
    </w:rPr>
  </w:style>
  <w:style w:type="paragraph" w:styleId="Textkrper-Zeileneinzug">
    <w:name w:val="Body Text Indent"/>
    <w:basedOn w:val="Standard"/>
    <w:pPr>
      <w:ind w:left="426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2C30D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F5D64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7B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9A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933B-960F-4B3D-B686-8D43B8C6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EC-Declaration of Confirmity /</vt:lpstr>
    </vt:vector>
  </TitlesOfParts>
  <Company>TÜV Rheinland Product Safety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EC-Declaration of Confirmity /</dc:title>
  <dc:subject/>
  <dc:creator>Jan Henrik Dornberg</dc:creator>
  <cp:keywords/>
  <cp:lastModifiedBy>Florian Niehaus</cp:lastModifiedBy>
  <cp:revision>2</cp:revision>
  <cp:lastPrinted>2019-03-19T10:36:00Z</cp:lastPrinted>
  <dcterms:created xsi:type="dcterms:W3CDTF">2025-05-27T06:22:00Z</dcterms:created>
  <dcterms:modified xsi:type="dcterms:W3CDTF">2025-05-27T06:22:00Z</dcterms:modified>
</cp:coreProperties>
</file>